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40DC5CF5" w:rsidR="00E90E49" w:rsidRPr="007222E6" w:rsidRDefault="00E90E49" w:rsidP="00E35559">
      <w:pPr>
        <w:pStyle w:val="3GPPHeader"/>
        <w:spacing w:after="60"/>
        <w:rPr>
          <w:rFonts w:eastAsiaTheme="minor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7E65ED">
        <w:rPr>
          <w:rFonts w:eastAsiaTheme="minorEastAsia" w:cs="Arial" w:hint="eastAsia"/>
        </w:rPr>
        <w:t>6bis</w:t>
      </w:r>
      <w:r w:rsidRPr="00CE0424">
        <w:tab/>
      </w:r>
      <w:r w:rsidR="005E6CDE" w:rsidRPr="005E6CDE">
        <w:rPr>
          <w:bCs/>
          <w:szCs w:val="24"/>
        </w:rPr>
        <w:t>R4-2513539</w:t>
      </w:r>
    </w:p>
    <w:p w14:paraId="0CE7B7E6" w14:textId="463345A1" w:rsidR="00E90E49" w:rsidRPr="005E5CB6" w:rsidRDefault="00DF1CF1" w:rsidP="00311702">
      <w:pPr>
        <w:pStyle w:val="3GPPHeader"/>
        <w:rPr>
          <w:rFonts w:eastAsiaTheme="minorEastAsia"/>
        </w:rPr>
      </w:pPr>
      <w:r>
        <w:rPr>
          <w:rFonts w:eastAsiaTheme="minorEastAsia" w:hint="eastAsia"/>
        </w:rPr>
        <w:t>Prague</w:t>
      </w:r>
      <w:r w:rsidR="00F67D0B">
        <w:rPr>
          <w:rFonts w:eastAsiaTheme="minorEastAsia" w:hint="eastAsia"/>
        </w:rPr>
        <w:t xml:space="preserve">, </w:t>
      </w:r>
      <w:r>
        <w:rPr>
          <w:rFonts w:eastAsiaTheme="minorEastAsia" w:hint="eastAsia"/>
        </w:rPr>
        <w:t>Cezh</w:t>
      </w:r>
      <w:r w:rsidR="00195744" w:rsidRPr="00180F43">
        <w:t xml:space="preserve">, </w:t>
      </w:r>
      <w:r>
        <w:rPr>
          <w:rFonts w:eastAsiaTheme="minorEastAsia" w:hint="eastAsia"/>
        </w:rPr>
        <w:t>13</w:t>
      </w:r>
      <w:r w:rsidR="00195744" w:rsidRPr="007B5FF2">
        <w:rPr>
          <w:rFonts w:eastAsiaTheme="minorEastAsia" w:hint="eastAsia"/>
          <w:vertAlign w:val="superscript"/>
        </w:rPr>
        <w:t>th</w:t>
      </w:r>
      <w:r w:rsidR="00195744">
        <w:rPr>
          <w:rFonts w:eastAsiaTheme="minorEastAsia" w:hint="eastAsia"/>
        </w:rPr>
        <w:t xml:space="preserve"> </w:t>
      </w:r>
      <w:r w:rsidR="00195744">
        <w:rPr>
          <w:rFonts w:eastAsiaTheme="minorEastAsia"/>
        </w:rPr>
        <w:t>–</w:t>
      </w:r>
      <w:r w:rsidR="00195744">
        <w:rPr>
          <w:rFonts w:eastAsiaTheme="minorEastAsia" w:hint="eastAsia"/>
        </w:rPr>
        <w:t xml:space="preserve"> </w:t>
      </w:r>
      <w:r>
        <w:rPr>
          <w:rFonts w:eastAsiaTheme="minorEastAsia" w:hint="eastAsia"/>
        </w:rPr>
        <w:t>17</w:t>
      </w:r>
      <w:r w:rsidR="00195744" w:rsidRPr="007B5FF2">
        <w:rPr>
          <w:rFonts w:eastAsiaTheme="minorEastAsia" w:hint="eastAsia"/>
          <w:vertAlign w:val="superscript"/>
        </w:rPr>
        <w:t>th</w:t>
      </w:r>
      <w:r w:rsidR="00F51076">
        <w:rPr>
          <w:rFonts w:eastAsiaTheme="minorEastAsia" w:hint="eastAsia"/>
        </w:rPr>
        <w:t xml:space="preserve"> </w:t>
      </w:r>
      <w:r>
        <w:rPr>
          <w:rFonts w:eastAsiaTheme="minorEastAsia" w:hint="eastAsia"/>
        </w:rPr>
        <w:t>Oct</w:t>
      </w:r>
      <w:r w:rsidR="00195744" w:rsidRPr="00C23410">
        <w:t>, 202</w:t>
      </w:r>
      <w:r w:rsidR="005E5CB6">
        <w:rPr>
          <w:rFonts w:eastAsiaTheme="minorEastAsia" w:hint="eastAsia"/>
        </w:rPr>
        <w:t>5</w:t>
      </w:r>
    </w:p>
    <w:p w14:paraId="3086AC07" w14:textId="77777777" w:rsidR="00E90E49" w:rsidRPr="00C83EB8" w:rsidRDefault="00E90E49" w:rsidP="00357380">
      <w:pPr>
        <w:pStyle w:val="3GPPHeader"/>
      </w:pPr>
    </w:p>
    <w:p w14:paraId="3982483C" w14:textId="46E013E5" w:rsidR="00E90E49" w:rsidRPr="00930EA4" w:rsidRDefault="00E90E49" w:rsidP="00311702">
      <w:pPr>
        <w:pStyle w:val="3GPPHeader"/>
        <w:rPr>
          <w:rFonts w:eastAsiaTheme="minorEastAsia"/>
          <w:sz w:val="22"/>
          <w:lang w:val="sv-FI"/>
        </w:rPr>
      </w:pPr>
      <w:r w:rsidRPr="008F1C4E">
        <w:rPr>
          <w:sz w:val="22"/>
          <w:lang w:val="sv-FI"/>
        </w:rPr>
        <w:t>Agenda Item:</w:t>
      </w:r>
      <w:r w:rsidRPr="008F1C4E">
        <w:rPr>
          <w:sz w:val="22"/>
          <w:lang w:val="sv-FI"/>
        </w:rPr>
        <w:tab/>
      </w:r>
      <w:r w:rsidR="007E65ED">
        <w:rPr>
          <w:rFonts w:eastAsiaTheme="minorEastAsia" w:hint="eastAsia"/>
          <w:sz w:val="22"/>
          <w:lang w:val="sv-FI"/>
        </w:rPr>
        <w:t>6.1</w:t>
      </w:r>
      <w:r w:rsidR="006330BC">
        <w:rPr>
          <w:rFonts w:eastAsiaTheme="minorEastAsia" w:hint="eastAsia"/>
          <w:sz w:val="22"/>
          <w:lang w:val="sv-FI"/>
        </w:rPr>
        <w:t>1</w:t>
      </w:r>
      <w:r w:rsidR="007E65ED">
        <w:rPr>
          <w:rFonts w:eastAsiaTheme="minorEastAsia" w:hint="eastAsia"/>
          <w:sz w:val="22"/>
          <w:lang w:val="sv-FI"/>
        </w:rPr>
        <w:t>.3</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76A8C42F" w:rsidR="00E90E49" w:rsidRPr="00930EA4" w:rsidRDefault="003D3C45" w:rsidP="00311702">
      <w:pPr>
        <w:pStyle w:val="3GPPHeader"/>
        <w:rPr>
          <w:rFonts w:eastAsiaTheme="minorEastAsia"/>
          <w:sz w:val="22"/>
        </w:rPr>
      </w:pPr>
      <w:r>
        <w:rPr>
          <w:sz w:val="22"/>
        </w:rPr>
        <w:t>Title:</w:t>
      </w:r>
      <w:r w:rsidR="00E90E49" w:rsidRPr="00CE0424">
        <w:rPr>
          <w:sz w:val="22"/>
        </w:rPr>
        <w:tab/>
      </w:r>
      <w:r w:rsidR="00A15E17">
        <w:rPr>
          <w:sz w:val="22"/>
        </w:rPr>
        <w:t>D</w:t>
      </w:r>
      <w:r w:rsidR="00A15E17" w:rsidRPr="00A15E17">
        <w:rPr>
          <w:sz w:val="22"/>
        </w:rPr>
        <w:t xml:space="preserve">iscussion on </w:t>
      </w:r>
      <w:r w:rsidR="007E65ED" w:rsidRPr="007E65ED">
        <w:rPr>
          <w:rFonts w:eastAsiaTheme="minorEastAsia"/>
          <w:sz w:val="22"/>
        </w:rPr>
        <w:t>CSI reporting requirement and testing framework for CSI prediction</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0CB9A9E" w14:textId="28A543F1" w:rsidR="0093778B" w:rsidRDefault="005E5CB6" w:rsidP="00E61FFC">
      <w:pPr>
        <w:spacing w:after="0" w:line="240" w:lineRule="auto"/>
        <w:rPr>
          <w:rFonts w:eastAsiaTheme="minorEastAsia"/>
          <w:sz w:val="22"/>
          <w:szCs w:val="20"/>
          <w:lang w:eastAsia="zh-CN"/>
        </w:rPr>
      </w:pPr>
      <w:r>
        <w:rPr>
          <w:rFonts w:eastAsiaTheme="minorEastAsia" w:hint="eastAsia"/>
          <w:sz w:val="22"/>
          <w:szCs w:val="20"/>
          <w:lang w:eastAsia="zh-CN"/>
        </w:rPr>
        <w:t>In this</w:t>
      </w:r>
      <w:r w:rsidR="00757CB9">
        <w:rPr>
          <w:rFonts w:eastAsiaTheme="minorEastAsia" w:hint="eastAsia"/>
          <w:sz w:val="22"/>
          <w:szCs w:val="20"/>
          <w:lang w:eastAsia="zh-CN"/>
        </w:rPr>
        <w:t xml:space="preserve"> contribution</w:t>
      </w:r>
      <w:r>
        <w:rPr>
          <w:rFonts w:eastAsiaTheme="minorEastAsia" w:hint="eastAsia"/>
          <w:sz w:val="22"/>
          <w:szCs w:val="20"/>
          <w:lang w:eastAsia="zh-CN"/>
        </w:rPr>
        <w:t xml:space="preserve">, </w:t>
      </w:r>
      <w:r w:rsidR="0094199D">
        <w:rPr>
          <w:rFonts w:eastAsiaTheme="minorEastAsia" w:hint="eastAsia"/>
          <w:sz w:val="22"/>
          <w:szCs w:val="20"/>
          <w:lang w:eastAsia="zh-CN"/>
        </w:rPr>
        <w:t xml:space="preserve">we </w:t>
      </w:r>
      <w:r w:rsidR="003C42A4">
        <w:rPr>
          <w:rFonts w:eastAsiaTheme="minorEastAsia" w:hint="eastAsia"/>
          <w:sz w:val="22"/>
          <w:szCs w:val="20"/>
          <w:lang w:eastAsia="zh-CN"/>
        </w:rPr>
        <w:t xml:space="preserve">provide our </w:t>
      </w:r>
      <w:r w:rsidR="003C42A4">
        <w:rPr>
          <w:rFonts w:eastAsiaTheme="minorEastAsia"/>
          <w:sz w:val="22"/>
          <w:szCs w:val="20"/>
          <w:lang w:eastAsia="zh-CN"/>
        </w:rPr>
        <w:t>views</w:t>
      </w:r>
      <w:r w:rsidR="003C42A4">
        <w:rPr>
          <w:rFonts w:eastAsiaTheme="minorEastAsia" w:hint="eastAsia"/>
          <w:sz w:val="22"/>
          <w:szCs w:val="20"/>
          <w:lang w:eastAsia="zh-CN"/>
        </w:rPr>
        <w:t xml:space="preserve"> on left FFS in following issues,</w:t>
      </w:r>
    </w:p>
    <w:p w14:paraId="2801F86F" w14:textId="64EC9094" w:rsidR="003C42A4" w:rsidRPr="00D42CC7" w:rsidRDefault="007D5FAD" w:rsidP="006F299F">
      <w:pPr>
        <w:pStyle w:val="aff"/>
        <w:numPr>
          <w:ilvl w:val="0"/>
          <w:numId w:val="37"/>
        </w:numPr>
        <w:spacing w:line="240" w:lineRule="auto"/>
        <w:rPr>
          <w:rFonts w:ascii="Arial" w:eastAsiaTheme="minorEastAsia" w:hAnsi="Arial" w:cs="Arial"/>
          <w:szCs w:val="20"/>
          <w:lang w:eastAsia="zh-CN"/>
        </w:rPr>
      </w:pPr>
      <w:r w:rsidRPr="007D5FAD">
        <w:rPr>
          <w:rFonts w:ascii="Arial" w:eastAsiaTheme="minorEastAsia" w:hAnsi="Arial" w:cs="Arial"/>
          <w:szCs w:val="20"/>
          <w:lang w:eastAsia="zh-CN"/>
        </w:rPr>
        <w:t>Issue 1-2: Requirement baseline for monitoring</w:t>
      </w:r>
    </w:p>
    <w:p w14:paraId="0398CB25" w14:textId="2CC50380" w:rsidR="00EF4409" w:rsidRPr="004661F1" w:rsidRDefault="00EF4409" w:rsidP="00B64407">
      <w:pPr>
        <w:pStyle w:val="1"/>
      </w:pPr>
      <w:r w:rsidRPr="004661F1">
        <w:rPr>
          <w:rFonts w:hint="eastAsia"/>
        </w:rPr>
        <w:t>2</w:t>
      </w:r>
      <w:r w:rsidR="004349C1">
        <w:tab/>
      </w:r>
      <w:r w:rsidR="008F7755">
        <w:t>Discussion</w:t>
      </w:r>
    </w:p>
    <w:p w14:paraId="2E6B1F68" w14:textId="5CC62325" w:rsidR="00C23764" w:rsidRPr="00C23764" w:rsidRDefault="00C23764" w:rsidP="00C23764">
      <w:pPr>
        <w:pStyle w:val="21"/>
        <w:rPr>
          <w:lang w:eastAsia="zh-CN"/>
        </w:rPr>
      </w:pPr>
      <w:r w:rsidRPr="00C23764">
        <w:rPr>
          <w:rFonts w:hint="eastAsia"/>
        </w:rPr>
        <w:t>2.</w:t>
      </w:r>
      <w:r w:rsidR="00781435">
        <w:rPr>
          <w:rFonts w:hint="eastAsia"/>
          <w:lang w:eastAsia="zh-CN"/>
        </w:rPr>
        <w:t>1</w:t>
      </w:r>
      <w:r w:rsidRPr="00C23764">
        <w:rPr>
          <w:rFonts w:hint="eastAsia"/>
        </w:rPr>
        <w:t xml:space="preserve"> </w:t>
      </w:r>
      <w:r w:rsidR="005D433A" w:rsidRPr="005D433A">
        <w:t>Issue 1-2: Requirement baseline for monitoring</w:t>
      </w:r>
    </w:p>
    <w:p w14:paraId="14E496AA" w14:textId="6F3E3ACB" w:rsidR="00462955" w:rsidRPr="00A81653" w:rsidRDefault="00462955" w:rsidP="00462955">
      <w:pPr>
        <w:rPr>
          <w:rFonts w:eastAsiaTheme="minorEastAsia"/>
          <w:sz w:val="22"/>
          <w:szCs w:val="28"/>
          <w:lang w:val="en-GB" w:eastAsia="zh-CN"/>
        </w:rPr>
      </w:pPr>
      <w:r w:rsidRPr="00A81653">
        <w:rPr>
          <w:rFonts w:eastAsiaTheme="minorEastAsia" w:hint="eastAsia"/>
          <w:sz w:val="22"/>
          <w:szCs w:val="28"/>
          <w:lang w:val="en-GB" w:eastAsia="zh-CN"/>
        </w:rPr>
        <w:t xml:space="preserve">In </w:t>
      </w:r>
      <w:r w:rsidR="005D433A">
        <w:rPr>
          <w:rFonts w:eastAsiaTheme="minorEastAsia" w:hint="eastAsia"/>
          <w:sz w:val="22"/>
          <w:szCs w:val="28"/>
          <w:lang w:val="en-GB" w:eastAsia="zh-CN"/>
        </w:rPr>
        <w:t>last RAN4 meeting</w:t>
      </w:r>
      <w:r w:rsidRPr="00A81653">
        <w:rPr>
          <w:rFonts w:eastAsiaTheme="minorEastAsia" w:hint="eastAsia"/>
          <w:sz w:val="22"/>
          <w:szCs w:val="28"/>
          <w:lang w:val="en-GB" w:eastAsia="zh-CN"/>
        </w:rPr>
        <w:t xml:space="preserve">, </w:t>
      </w:r>
      <w:r w:rsidR="00B229DA">
        <w:rPr>
          <w:rFonts w:eastAsiaTheme="minorEastAsia" w:hint="eastAsia"/>
          <w:sz w:val="22"/>
          <w:szCs w:val="28"/>
          <w:lang w:val="en-GB" w:eastAsia="zh-CN"/>
        </w:rPr>
        <w:t>following agreements had been achieved</w:t>
      </w:r>
      <w:r w:rsidR="005D433A">
        <w:rPr>
          <w:rFonts w:eastAsiaTheme="minorEastAsia" w:hint="eastAsia"/>
          <w:sz w:val="22"/>
          <w:szCs w:val="28"/>
          <w:lang w:val="en-GB" w:eastAsia="zh-CN"/>
        </w:rPr>
        <w:t xml:space="preserve"> for this issue,</w:t>
      </w:r>
    </w:p>
    <w:tbl>
      <w:tblPr>
        <w:tblStyle w:val="aff4"/>
        <w:tblW w:w="0" w:type="auto"/>
        <w:tblLook w:val="04A0" w:firstRow="1" w:lastRow="0" w:firstColumn="1" w:lastColumn="0" w:noHBand="0" w:noVBand="1"/>
      </w:tblPr>
      <w:tblGrid>
        <w:gridCol w:w="9629"/>
      </w:tblGrid>
      <w:tr w:rsidR="00462955" w14:paraId="3B898C0F" w14:textId="77777777" w:rsidTr="00B15144">
        <w:tc>
          <w:tcPr>
            <w:tcW w:w="9629" w:type="dxa"/>
          </w:tcPr>
          <w:p w14:paraId="123FE394" w14:textId="77777777" w:rsidR="005D433A" w:rsidRPr="005D433A" w:rsidRDefault="005D433A" w:rsidP="006D292A">
            <w:pPr>
              <w:spacing w:after="0" w:line="240" w:lineRule="auto"/>
              <w:rPr>
                <w:rFonts w:ascii="Times New Roman" w:eastAsia="宋体" w:hAnsi="Times New Roman" w:cs="Times New Roman"/>
                <w:b/>
                <w:szCs w:val="20"/>
                <w:u w:val="single"/>
                <w:lang w:val="en-GB" w:eastAsia="ko-KR"/>
              </w:rPr>
            </w:pPr>
            <w:r w:rsidRPr="005D433A">
              <w:rPr>
                <w:rFonts w:ascii="Times New Roman" w:eastAsia="宋体" w:hAnsi="Times New Roman" w:cs="Times New Roman"/>
                <w:b/>
                <w:szCs w:val="20"/>
                <w:u w:val="single"/>
                <w:lang w:val="en-GB" w:eastAsia="ko-KR"/>
              </w:rPr>
              <w:t xml:space="preserve">Issue </w:t>
            </w:r>
            <w:r w:rsidRPr="005D433A">
              <w:rPr>
                <w:rFonts w:ascii="Times New Roman" w:eastAsia="Yu Mincho" w:hAnsi="Times New Roman" w:cs="Times New Roman"/>
                <w:b/>
                <w:szCs w:val="20"/>
                <w:u w:val="single"/>
                <w:lang w:val="en-GB" w:eastAsia="ja-JP"/>
              </w:rPr>
              <w:t>1</w:t>
            </w:r>
            <w:r w:rsidRPr="005D433A">
              <w:rPr>
                <w:rFonts w:ascii="Times New Roman" w:eastAsia="宋体" w:hAnsi="Times New Roman" w:cs="Times New Roman"/>
                <w:b/>
                <w:szCs w:val="20"/>
                <w:u w:val="single"/>
                <w:lang w:val="en-GB" w:eastAsia="ko-KR"/>
              </w:rPr>
              <w:t xml:space="preserve">-2: </w:t>
            </w:r>
            <w:r w:rsidRPr="005D433A">
              <w:rPr>
                <w:rFonts w:ascii="Times New Roman" w:eastAsia="Yu Mincho" w:hAnsi="Times New Roman" w:cs="Times New Roman"/>
                <w:b/>
                <w:szCs w:val="20"/>
                <w:u w:val="single"/>
                <w:lang w:val="en-GB" w:eastAsia="ja-JP"/>
              </w:rPr>
              <w:t>Requirement baseline for monitoring</w:t>
            </w:r>
          </w:p>
          <w:p w14:paraId="380A5AF1" w14:textId="77777777" w:rsidR="005D433A" w:rsidRPr="005D433A" w:rsidRDefault="005D433A" w:rsidP="006D292A">
            <w:pPr>
              <w:spacing w:after="0" w:line="240" w:lineRule="auto"/>
              <w:rPr>
                <w:rFonts w:ascii="Times New Roman" w:eastAsia="Yu Mincho" w:hAnsi="Times New Roman" w:cs="Times New Roman"/>
                <w:szCs w:val="24"/>
                <w:lang w:val="en-GB" w:eastAsia="ja-JP"/>
              </w:rPr>
            </w:pPr>
            <w:r w:rsidRPr="005D433A">
              <w:rPr>
                <w:rFonts w:ascii="Times New Roman" w:eastAsia="Yu Mincho" w:hAnsi="Times New Roman" w:cs="Times New Roman"/>
                <w:szCs w:val="24"/>
                <w:highlight w:val="green"/>
                <w:lang w:val="en-GB" w:eastAsia="ja-JP"/>
              </w:rPr>
              <w:t>Agreement:</w:t>
            </w:r>
          </w:p>
          <w:p w14:paraId="004F8F8B" w14:textId="77777777" w:rsidR="005D433A" w:rsidRPr="005D433A" w:rsidRDefault="005D433A" w:rsidP="006D292A">
            <w:pPr>
              <w:spacing w:after="0" w:line="240" w:lineRule="auto"/>
              <w:rPr>
                <w:rFonts w:ascii="Times New Roman" w:eastAsia="Yu Mincho" w:hAnsi="Times New Roman" w:cs="Times New Roman"/>
                <w:szCs w:val="24"/>
                <w:lang w:val="en-GB" w:eastAsia="ja-JP"/>
              </w:rPr>
            </w:pPr>
            <w:r w:rsidRPr="005D433A">
              <w:rPr>
                <w:rFonts w:ascii="Times New Roman" w:eastAsia="Yu Mincho" w:hAnsi="Times New Roman" w:cs="Times New Roman"/>
                <w:szCs w:val="24"/>
                <w:lang w:val="en-GB" w:eastAsia="ja-JP"/>
              </w:rPr>
              <w:t>Introduce the following requirements for CSI performance monitoring:</w:t>
            </w:r>
          </w:p>
          <w:p w14:paraId="07427F9F" w14:textId="77777777" w:rsidR="005D433A" w:rsidRPr="005D433A" w:rsidRDefault="005D433A" w:rsidP="006D292A">
            <w:pPr>
              <w:numPr>
                <w:ilvl w:val="0"/>
                <w:numId w:val="40"/>
              </w:numPr>
              <w:overflowPunct w:val="0"/>
              <w:autoSpaceDE w:val="0"/>
              <w:autoSpaceDN w:val="0"/>
              <w:adjustRightInd w:val="0"/>
              <w:spacing w:after="0" w:line="240" w:lineRule="auto"/>
              <w:contextualSpacing/>
              <w:textAlignment w:val="baseline"/>
              <w:rPr>
                <w:rFonts w:ascii="Times New Roman" w:eastAsia="Yu Mincho" w:hAnsi="Times New Roman" w:cs="Times New Roman"/>
                <w:szCs w:val="24"/>
                <w:lang w:val="en-GB" w:eastAsia="ja-JP"/>
              </w:rPr>
            </w:pPr>
            <w:r w:rsidRPr="005D433A">
              <w:rPr>
                <w:rFonts w:ascii="Times New Roman" w:eastAsia="Yu Mincho" w:hAnsi="Times New Roman" w:cs="Times New Roman"/>
                <w:szCs w:val="24"/>
                <w:lang w:val="en-GB" w:eastAsia="ja-JP"/>
              </w:rPr>
              <w:t>Reporting delay</w:t>
            </w:r>
          </w:p>
          <w:p w14:paraId="1D26AC1D" w14:textId="77777777" w:rsidR="005D433A" w:rsidRPr="005D433A" w:rsidRDefault="005D433A" w:rsidP="006D292A">
            <w:pPr>
              <w:numPr>
                <w:ilvl w:val="1"/>
                <w:numId w:val="40"/>
              </w:numPr>
              <w:overflowPunct w:val="0"/>
              <w:autoSpaceDE w:val="0"/>
              <w:autoSpaceDN w:val="0"/>
              <w:adjustRightInd w:val="0"/>
              <w:spacing w:after="0" w:line="240" w:lineRule="auto"/>
              <w:contextualSpacing/>
              <w:textAlignment w:val="baseline"/>
              <w:rPr>
                <w:rFonts w:ascii="Times New Roman" w:eastAsia="Yu Mincho" w:hAnsi="Times New Roman" w:cs="Times New Roman"/>
                <w:szCs w:val="24"/>
                <w:lang w:val="en-GB" w:eastAsia="ja-JP"/>
              </w:rPr>
            </w:pPr>
            <w:r w:rsidRPr="005D433A">
              <w:rPr>
                <w:rFonts w:ascii="Times New Roman" w:eastAsia="Yu Mincho" w:hAnsi="Times New Roman" w:cs="Times New Roman"/>
                <w:szCs w:val="24"/>
                <w:lang w:val="en-GB" w:eastAsia="ja-JP"/>
              </w:rPr>
              <w:t>FFS how the delay is defined</w:t>
            </w:r>
          </w:p>
          <w:p w14:paraId="6FA5A2F9" w14:textId="77777777" w:rsidR="005D433A" w:rsidRPr="005D433A" w:rsidRDefault="005D433A" w:rsidP="006D292A">
            <w:pPr>
              <w:numPr>
                <w:ilvl w:val="0"/>
                <w:numId w:val="40"/>
              </w:numPr>
              <w:overflowPunct w:val="0"/>
              <w:autoSpaceDE w:val="0"/>
              <w:autoSpaceDN w:val="0"/>
              <w:adjustRightInd w:val="0"/>
              <w:spacing w:after="0" w:line="240" w:lineRule="auto"/>
              <w:contextualSpacing/>
              <w:textAlignment w:val="baseline"/>
              <w:rPr>
                <w:rFonts w:ascii="Times New Roman" w:eastAsia="Yu Mincho" w:hAnsi="Times New Roman" w:cs="Times New Roman"/>
                <w:szCs w:val="24"/>
                <w:lang w:val="en-GB" w:eastAsia="ja-JP"/>
              </w:rPr>
            </w:pPr>
            <w:r w:rsidRPr="005D433A">
              <w:rPr>
                <w:rFonts w:ascii="Times New Roman" w:eastAsia="Yu Mincho" w:hAnsi="Times New Roman" w:cs="Times New Roman"/>
                <w:szCs w:val="24"/>
                <w:lang w:val="en-GB" w:eastAsia="ja-JP"/>
              </w:rPr>
              <w:t>Reporting accuracy</w:t>
            </w:r>
          </w:p>
          <w:p w14:paraId="406A223B" w14:textId="77777777" w:rsidR="005D433A" w:rsidRPr="005D433A" w:rsidRDefault="005D433A" w:rsidP="006D292A">
            <w:pPr>
              <w:numPr>
                <w:ilvl w:val="1"/>
                <w:numId w:val="40"/>
              </w:numPr>
              <w:overflowPunct w:val="0"/>
              <w:autoSpaceDE w:val="0"/>
              <w:autoSpaceDN w:val="0"/>
              <w:adjustRightInd w:val="0"/>
              <w:spacing w:after="0" w:line="240" w:lineRule="auto"/>
              <w:contextualSpacing/>
              <w:textAlignment w:val="baseline"/>
              <w:rPr>
                <w:rFonts w:ascii="Times New Roman" w:eastAsia="Yu Mincho" w:hAnsi="Times New Roman" w:cs="Times New Roman"/>
                <w:szCs w:val="24"/>
                <w:lang w:val="en-GB" w:eastAsia="ja-JP"/>
              </w:rPr>
            </w:pPr>
            <w:r w:rsidRPr="005D433A">
              <w:rPr>
                <w:rFonts w:ascii="Times New Roman" w:eastAsia="Yu Mincho" w:hAnsi="Times New Roman" w:cs="Times New Roman"/>
                <w:szCs w:val="24"/>
                <w:lang w:val="en-GB" w:eastAsia="ja-JP"/>
              </w:rPr>
              <w:t>FFS on whether accuracy requirement can be defined/checked</w:t>
            </w:r>
          </w:p>
          <w:p w14:paraId="42B005BA" w14:textId="77777777" w:rsidR="005D433A" w:rsidRPr="005D433A" w:rsidRDefault="005D433A" w:rsidP="006D292A">
            <w:pPr>
              <w:numPr>
                <w:ilvl w:val="0"/>
                <w:numId w:val="40"/>
              </w:numPr>
              <w:overflowPunct w:val="0"/>
              <w:autoSpaceDE w:val="0"/>
              <w:autoSpaceDN w:val="0"/>
              <w:adjustRightInd w:val="0"/>
              <w:spacing w:after="0" w:line="240" w:lineRule="auto"/>
              <w:contextualSpacing/>
              <w:textAlignment w:val="baseline"/>
              <w:rPr>
                <w:rFonts w:ascii="Times New Roman" w:eastAsia="Yu Mincho" w:hAnsi="Times New Roman" w:cs="Times New Roman"/>
                <w:szCs w:val="24"/>
                <w:lang w:val="en-GB" w:eastAsia="ja-JP"/>
              </w:rPr>
            </w:pPr>
            <w:r w:rsidRPr="005D433A">
              <w:rPr>
                <w:rFonts w:ascii="Times New Roman" w:eastAsia="Yu Mincho" w:hAnsi="Times New Roman" w:cs="Times New Roman"/>
                <w:szCs w:val="24"/>
                <w:lang w:val="en-GB" w:eastAsia="ja-JP"/>
              </w:rPr>
              <w:t>Mapping table – To be checked whether RAN1 captures or RAN4</w:t>
            </w:r>
          </w:p>
          <w:p w14:paraId="3AD9406E" w14:textId="4C4C9685" w:rsidR="00462955" w:rsidRPr="005D433A" w:rsidRDefault="005D433A" w:rsidP="006D292A">
            <w:pPr>
              <w:numPr>
                <w:ilvl w:val="0"/>
                <w:numId w:val="40"/>
              </w:numPr>
              <w:overflowPunct w:val="0"/>
              <w:autoSpaceDE w:val="0"/>
              <w:autoSpaceDN w:val="0"/>
              <w:adjustRightInd w:val="0"/>
              <w:spacing w:after="0" w:line="240" w:lineRule="auto"/>
              <w:contextualSpacing/>
              <w:textAlignment w:val="baseline"/>
              <w:rPr>
                <w:rFonts w:ascii="Times New Roman" w:eastAsia="Yu Mincho" w:hAnsi="Times New Roman" w:cs="Times New Roman"/>
                <w:szCs w:val="24"/>
                <w:lang w:val="en-GB" w:eastAsia="ja-JP"/>
              </w:rPr>
            </w:pPr>
            <w:r w:rsidRPr="005D433A">
              <w:rPr>
                <w:rFonts w:ascii="Times New Roman" w:eastAsia="Yu Mincho" w:hAnsi="Times New Roman" w:cs="Times New Roman"/>
                <w:szCs w:val="24"/>
                <w:lang w:val="en-GB" w:eastAsia="ja-JP"/>
              </w:rPr>
              <w:t>If it is not feasible to define reporting accuracy requirement or test it, RAN4 will send an LS to RAN1 to inform RAN1 about this</w:t>
            </w:r>
          </w:p>
        </w:tc>
      </w:tr>
    </w:tbl>
    <w:p w14:paraId="26CEFBF5" w14:textId="77777777" w:rsidR="00462955" w:rsidRDefault="00462955" w:rsidP="00462955">
      <w:pPr>
        <w:jc w:val="both"/>
        <w:rPr>
          <w:rFonts w:eastAsiaTheme="minorEastAsia" w:cs="Arial"/>
          <w:sz w:val="21"/>
          <w:szCs w:val="24"/>
          <w:lang w:eastAsia="zh-CN"/>
        </w:rPr>
      </w:pPr>
    </w:p>
    <w:p w14:paraId="2DB7019A" w14:textId="32E80D01" w:rsidR="00A950B2" w:rsidRDefault="00A950B2" w:rsidP="00293F5D">
      <w:pPr>
        <w:spacing w:after="0" w:line="360" w:lineRule="exact"/>
        <w:jc w:val="both"/>
        <w:rPr>
          <w:rFonts w:eastAsiaTheme="minorEastAsia" w:cs="Arial"/>
          <w:sz w:val="22"/>
          <w:lang w:eastAsia="zh-CN"/>
        </w:rPr>
      </w:pPr>
      <w:r>
        <w:rPr>
          <w:rFonts w:eastAsiaTheme="minorEastAsia" w:cs="Arial"/>
          <w:sz w:val="22"/>
          <w:lang w:eastAsia="zh-CN"/>
        </w:rPr>
        <w:t>R</w:t>
      </w:r>
      <w:r>
        <w:rPr>
          <w:rFonts w:eastAsiaTheme="minorEastAsia" w:cs="Arial" w:hint="eastAsia"/>
          <w:sz w:val="22"/>
          <w:lang w:eastAsia="zh-CN"/>
        </w:rPr>
        <w:t xml:space="preserve">egarding the first FFS point, </w:t>
      </w:r>
      <w:r w:rsidR="00016E74">
        <w:rPr>
          <w:rFonts w:eastAsiaTheme="minorEastAsia" w:cs="Arial" w:hint="eastAsia"/>
          <w:sz w:val="22"/>
          <w:lang w:eastAsia="zh-CN"/>
        </w:rPr>
        <w:t>according to RAN1</w:t>
      </w:r>
      <w:r w:rsidR="00016E74">
        <w:rPr>
          <w:rFonts w:eastAsiaTheme="minorEastAsia" w:cs="Arial"/>
          <w:sz w:val="22"/>
          <w:lang w:eastAsia="zh-CN"/>
        </w:rPr>
        <w:t>’</w:t>
      </w:r>
      <w:r w:rsidR="00016E74">
        <w:rPr>
          <w:rFonts w:eastAsiaTheme="minorEastAsia" w:cs="Arial" w:hint="eastAsia"/>
          <w:sz w:val="22"/>
          <w:lang w:eastAsia="zh-CN"/>
        </w:rPr>
        <w:t xml:space="preserve">s progress in </w:t>
      </w:r>
      <w:r w:rsidR="00016E74">
        <w:rPr>
          <w:rFonts w:eastAsiaTheme="minorEastAsia" w:cs="Arial"/>
          <w:sz w:val="22"/>
          <w:lang w:eastAsia="zh-CN"/>
        </w:rPr>
        <w:t>following</w:t>
      </w:r>
      <w:r w:rsidR="00016E74">
        <w:rPr>
          <w:rFonts w:eastAsiaTheme="minorEastAsia" w:cs="Arial" w:hint="eastAsia"/>
          <w:sz w:val="22"/>
          <w:lang w:eastAsia="zh-CN"/>
        </w:rPr>
        <w:t xml:space="preserve"> agreement</w:t>
      </w:r>
    </w:p>
    <w:tbl>
      <w:tblPr>
        <w:tblStyle w:val="aff4"/>
        <w:tblW w:w="0" w:type="auto"/>
        <w:tblLook w:val="04A0" w:firstRow="1" w:lastRow="0" w:firstColumn="1" w:lastColumn="0" w:noHBand="0" w:noVBand="1"/>
      </w:tblPr>
      <w:tblGrid>
        <w:gridCol w:w="9629"/>
      </w:tblGrid>
      <w:tr w:rsidR="00016E74" w14:paraId="10ACC3B1" w14:textId="77777777" w:rsidTr="00016E74">
        <w:tc>
          <w:tcPr>
            <w:tcW w:w="9629" w:type="dxa"/>
          </w:tcPr>
          <w:p w14:paraId="42757EA3" w14:textId="77777777" w:rsidR="00016E74" w:rsidRPr="00016E74" w:rsidRDefault="00016E74" w:rsidP="00016E74">
            <w:pPr>
              <w:suppressAutoHyphens/>
              <w:spacing w:after="0" w:line="240" w:lineRule="auto"/>
              <w:rPr>
                <w:rFonts w:ascii="Times" w:eastAsia="等线" w:hAnsi="Times" w:cs="Times New Roman"/>
                <w:szCs w:val="24"/>
                <w:highlight w:val="green"/>
                <w:lang w:val="en-GB" w:eastAsia="zh-CN"/>
              </w:rPr>
            </w:pPr>
            <w:r w:rsidRPr="00016E74">
              <w:rPr>
                <w:rFonts w:ascii="Times" w:eastAsia="等线" w:hAnsi="Times" w:cs="Times New Roman"/>
                <w:szCs w:val="24"/>
                <w:highlight w:val="green"/>
                <w:lang w:val="en-GB" w:eastAsia="zh-CN"/>
              </w:rPr>
              <w:t>Agreement</w:t>
            </w:r>
          </w:p>
          <w:p w14:paraId="3087FFC9" w14:textId="77777777" w:rsidR="00016E74" w:rsidRPr="00016E74" w:rsidRDefault="00016E74" w:rsidP="00016E74">
            <w:pPr>
              <w:suppressAutoHyphens/>
              <w:spacing w:after="0" w:line="240" w:lineRule="auto"/>
              <w:rPr>
                <w:rFonts w:ascii="Times" w:eastAsia="Batang" w:hAnsi="Times" w:cs="Times New Roman"/>
                <w:szCs w:val="24"/>
                <w:lang w:val="en-GB"/>
              </w:rPr>
            </w:pPr>
            <w:r w:rsidRPr="00016E74">
              <w:rPr>
                <w:rFonts w:ascii="Times" w:eastAsia="Batang" w:hAnsi="Times" w:cs="Times New Roman"/>
                <w:szCs w:val="24"/>
                <w:lang w:val="en-GB" w:eastAsia="ko-KR"/>
              </w:rPr>
              <w:t xml:space="preserve">For CSI prediction using UE-side model, </w:t>
            </w:r>
            <w:r w:rsidRPr="00016E74">
              <w:rPr>
                <w:rFonts w:ascii="Times" w:eastAsia="Batang" w:hAnsi="Times" w:cs="Times New Roman"/>
                <w:szCs w:val="24"/>
                <w:lang w:val="en-GB"/>
              </w:rPr>
              <w:t xml:space="preserve">for UE assisted performance monitoring, </w:t>
            </w:r>
          </w:p>
          <w:p w14:paraId="6C6C7EA2" w14:textId="77777777" w:rsidR="00016E74" w:rsidRPr="00016E74" w:rsidRDefault="00016E74" w:rsidP="00016E74">
            <w:pPr>
              <w:numPr>
                <w:ilvl w:val="0"/>
                <w:numId w:val="41"/>
              </w:numPr>
              <w:suppressAutoHyphens/>
              <w:spacing w:after="0" w:line="240" w:lineRule="auto"/>
              <w:rPr>
                <w:rFonts w:ascii="Times" w:eastAsia="Batang" w:hAnsi="Times" w:cs="Times"/>
                <w:szCs w:val="24"/>
                <w:lang w:val="en-GB" w:eastAsia="en-GB"/>
              </w:rPr>
            </w:pPr>
            <w:r w:rsidRPr="00016E74">
              <w:rPr>
                <w:rFonts w:ascii="Times" w:eastAsia="Batang" w:hAnsi="Times" w:cs="Times"/>
                <w:szCs w:val="24"/>
                <w:lang w:val="en-GB" w:eastAsia="en-GB"/>
              </w:rPr>
              <w:t>Support to reuse CSI framework for the configuration for monitoring result report in L1 signaling</w:t>
            </w:r>
          </w:p>
          <w:p w14:paraId="19430B09" w14:textId="77777777" w:rsidR="00016E74" w:rsidRPr="00016E74" w:rsidRDefault="00016E74" w:rsidP="00016E74">
            <w:pPr>
              <w:widowControl w:val="0"/>
              <w:numPr>
                <w:ilvl w:val="1"/>
                <w:numId w:val="41"/>
              </w:numPr>
              <w:tabs>
                <w:tab w:val="left" w:pos="720"/>
              </w:tabs>
              <w:suppressAutoHyphens/>
              <w:spacing w:after="0" w:line="276" w:lineRule="auto"/>
              <w:rPr>
                <w:rFonts w:ascii="Times" w:eastAsia="Batang" w:hAnsi="Times" w:cs="Times"/>
                <w:kern w:val="2"/>
                <w:szCs w:val="24"/>
                <w:lang w:val="en-GB" w:eastAsia="en-GB"/>
              </w:rPr>
            </w:pPr>
            <w:r w:rsidRPr="00016E74">
              <w:rPr>
                <w:rFonts w:ascii="Times" w:eastAsia="Batang" w:hAnsi="Times" w:cs="Times"/>
                <w:kern w:val="2"/>
                <w:szCs w:val="24"/>
                <w:lang w:val="en-GB" w:eastAsia="en-GB"/>
              </w:rPr>
              <w:t>Dedicated resource set for monitoring and report configuration for monitoring are configured in a dedicated CSI report configuration used for monitoring</w:t>
            </w:r>
          </w:p>
          <w:p w14:paraId="3C0B0740" w14:textId="77777777" w:rsidR="00016E74" w:rsidRPr="00016E74" w:rsidRDefault="00016E74" w:rsidP="00016E74">
            <w:pPr>
              <w:numPr>
                <w:ilvl w:val="2"/>
                <w:numId w:val="41"/>
              </w:numPr>
              <w:suppressAutoHyphens/>
              <w:spacing w:after="0" w:line="240" w:lineRule="auto"/>
              <w:rPr>
                <w:rFonts w:ascii="Times New Roman" w:eastAsia="等线" w:hAnsi="Times New Roman" w:cs="Times New Roman"/>
                <w:szCs w:val="24"/>
                <w:lang w:val="en-GB" w:eastAsia="ko-KR"/>
              </w:rPr>
            </w:pPr>
            <w:r w:rsidRPr="00016E74">
              <w:rPr>
                <w:rFonts w:ascii="Times New Roman" w:eastAsia="等线" w:hAnsi="Times New Roman" w:cs="Times"/>
                <w:szCs w:val="24"/>
                <w:lang w:val="en-GB" w:eastAsia="ko-KR"/>
              </w:rPr>
              <w:t xml:space="preserve">The ID of an inference report configuration is configured in the configuration for monitoring to link the inference report configuration and monitoring report configuration </w:t>
            </w:r>
          </w:p>
          <w:p w14:paraId="0E21F7D2" w14:textId="77777777" w:rsidR="00016E74" w:rsidRPr="00016E74" w:rsidRDefault="00016E74" w:rsidP="00016E74">
            <w:pPr>
              <w:numPr>
                <w:ilvl w:val="2"/>
                <w:numId w:val="41"/>
              </w:numPr>
              <w:suppressAutoHyphens/>
              <w:spacing w:after="0" w:line="240" w:lineRule="auto"/>
              <w:rPr>
                <w:rFonts w:ascii="Times New Roman" w:eastAsia="等线" w:hAnsi="Times New Roman" w:cs="Times"/>
                <w:szCs w:val="24"/>
                <w:lang w:val="en-GB" w:eastAsia="ko-KR"/>
              </w:rPr>
            </w:pPr>
            <w:r w:rsidRPr="00016E74">
              <w:rPr>
                <w:rFonts w:ascii="Times New Roman" w:eastAsia="等线" w:hAnsi="Times New Roman" w:cs="Times"/>
                <w:szCs w:val="24"/>
                <w:lang w:val="en-GB" w:eastAsia="ko-KR"/>
              </w:rPr>
              <w:t xml:space="preserve">For monitoring report type, </w:t>
            </w:r>
            <w:r w:rsidRPr="00016E74">
              <w:rPr>
                <w:rFonts w:ascii="Times New Roman" w:eastAsia="等线" w:hAnsi="Times New Roman" w:cs="Times"/>
                <w:color w:val="FF0000"/>
                <w:szCs w:val="24"/>
                <w:lang w:val="en-GB" w:eastAsia="ko-KR"/>
              </w:rPr>
              <w:t xml:space="preserve">semi-persistent and aperiodic </w:t>
            </w:r>
            <w:r w:rsidRPr="00016E74">
              <w:rPr>
                <w:rFonts w:ascii="Times New Roman" w:eastAsia="等线" w:hAnsi="Times New Roman" w:cs="Times"/>
                <w:szCs w:val="24"/>
                <w:lang w:val="en-GB" w:eastAsia="ko-KR"/>
              </w:rPr>
              <w:t>are supported</w:t>
            </w:r>
          </w:p>
          <w:p w14:paraId="482CF766" w14:textId="77777777" w:rsidR="00016E74" w:rsidRPr="00016E74" w:rsidRDefault="00016E74" w:rsidP="00016E74">
            <w:pPr>
              <w:numPr>
                <w:ilvl w:val="2"/>
                <w:numId w:val="41"/>
              </w:numPr>
              <w:suppressAutoHyphens/>
              <w:spacing w:after="0" w:line="240" w:lineRule="auto"/>
              <w:rPr>
                <w:rFonts w:ascii="Times New Roman" w:eastAsia="等线" w:hAnsi="Times New Roman" w:cs="Times"/>
                <w:szCs w:val="24"/>
                <w:lang w:val="en-GB" w:eastAsia="ko-KR"/>
              </w:rPr>
            </w:pPr>
            <w:r w:rsidRPr="00016E74">
              <w:rPr>
                <w:rFonts w:ascii="Times New Roman" w:eastAsia="等线" w:hAnsi="Times New Roman" w:cs="Times"/>
                <w:szCs w:val="24"/>
                <w:lang w:val="en-GB" w:eastAsia="ko-KR"/>
              </w:rPr>
              <w:t>The following combination for inference report type and monitoring report type are supported</w:t>
            </w:r>
          </w:p>
          <w:tbl>
            <w:tblPr>
              <w:tblW w:w="5715" w:type="dxa"/>
              <w:jc w:val="center"/>
              <w:tblLayout w:type="fixed"/>
              <w:tblLook w:val="04A0" w:firstRow="1" w:lastRow="0" w:firstColumn="1" w:lastColumn="0" w:noHBand="0" w:noVBand="1"/>
            </w:tblPr>
            <w:tblGrid>
              <w:gridCol w:w="3258"/>
              <w:gridCol w:w="1228"/>
              <w:gridCol w:w="1229"/>
            </w:tblGrid>
            <w:tr w:rsidR="00016E74" w:rsidRPr="00016E74" w14:paraId="107374DC" w14:textId="77777777">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hideMark/>
                </w:tcPr>
                <w:p w14:paraId="001BE22B" w14:textId="77777777" w:rsidR="00016E74" w:rsidRPr="00016E74" w:rsidRDefault="00016E74" w:rsidP="00016E74">
                  <w:pPr>
                    <w:widowControl w:val="0"/>
                    <w:suppressAutoHyphens/>
                    <w:spacing w:after="0" w:line="240" w:lineRule="auto"/>
                    <w:ind w:firstLine="1100"/>
                    <w:rPr>
                      <w:rFonts w:ascii="Times" w:eastAsia="Batang" w:hAnsi="Times" w:cs="Times New Roman"/>
                      <w:bCs/>
                      <w:szCs w:val="24"/>
                    </w:rPr>
                  </w:pPr>
                  <w:r w:rsidRPr="00016E74">
                    <w:rPr>
                      <w:rFonts w:ascii="Times" w:eastAsia="Batang" w:hAnsi="Times" w:cs="Times New Roman"/>
                      <w:bCs/>
                      <w:szCs w:val="24"/>
                    </w:rPr>
                    <w:t>Monitoring report type</w:t>
                  </w:r>
                </w:p>
                <w:p w14:paraId="48C0447E" w14:textId="77777777" w:rsidR="00016E74" w:rsidRPr="00016E74" w:rsidRDefault="00016E74" w:rsidP="00016E74">
                  <w:pPr>
                    <w:widowControl w:val="0"/>
                    <w:suppressAutoHyphens/>
                    <w:spacing w:after="0" w:line="240" w:lineRule="auto"/>
                    <w:rPr>
                      <w:rFonts w:ascii="Times" w:eastAsia="Batang" w:hAnsi="Times" w:cs="Times New Roman"/>
                      <w:bCs/>
                      <w:szCs w:val="24"/>
                    </w:rPr>
                  </w:pPr>
                  <w:r w:rsidRPr="00016E74">
                    <w:rPr>
                      <w:rFonts w:ascii="Times" w:eastAsia="Batang" w:hAnsi="Times" w:cs="Times New Roman"/>
                      <w:bCs/>
                      <w:szCs w:val="24"/>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hideMark/>
                </w:tcPr>
                <w:p w14:paraId="13106A72" w14:textId="77777777" w:rsidR="00016E74" w:rsidRPr="00016E74" w:rsidRDefault="00016E74" w:rsidP="00016E74">
                  <w:pPr>
                    <w:widowControl w:val="0"/>
                    <w:suppressAutoHyphens/>
                    <w:spacing w:after="0" w:line="240" w:lineRule="auto"/>
                    <w:rPr>
                      <w:rFonts w:ascii="Times" w:eastAsia="Batang" w:hAnsi="Times" w:cs="Times New Roman"/>
                      <w:bCs/>
                      <w:szCs w:val="24"/>
                      <w:lang w:val="en-GB"/>
                    </w:rPr>
                  </w:pPr>
                  <w:r w:rsidRPr="00016E74">
                    <w:rPr>
                      <w:rFonts w:ascii="Times" w:eastAsia="Batang" w:hAnsi="Times" w:cs="Times New Roman"/>
                      <w:bCs/>
                      <w:szCs w:val="24"/>
                      <w:lang w:val="en-GB"/>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hideMark/>
                </w:tcPr>
                <w:p w14:paraId="77D06303" w14:textId="77777777" w:rsidR="00016E74" w:rsidRPr="00016E74" w:rsidRDefault="00016E74" w:rsidP="00016E74">
                  <w:pPr>
                    <w:widowControl w:val="0"/>
                    <w:suppressAutoHyphens/>
                    <w:spacing w:after="0" w:line="240" w:lineRule="auto"/>
                    <w:rPr>
                      <w:rFonts w:ascii="Times" w:eastAsia="Batang" w:hAnsi="Times" w:cs="Times New Roman"/>
                      <w:bCs/>
                      <w:szCs w:val="24"/>
                      <w:lang w:val="en-GB"/>
                    </w:rPr>
                  </w:pPr>
                  <w:r w:rsidRPr="00016E74">
                    <w:rPr>
                      <w:rFonts w:ascii="Times" w:eastAsia="Batang" w:hAnsi="Times" w:cs="Times New Roman"/>
                      <w:bCs/>
                      <w:szCs w:val="24"/>
                      <w:lang w:val="en-GB"/>
                    </w:rPr>
                    <w:t>AP report</w:t>
                  </w:r>
                </w:p>
              </w:tc>
            </w:tr>
            <w:tr w:rsidR="00016E74" w:rsidRPr="00016E74" w14:paraId="1BC8E209" w14:textId="77777777">
              <w:trPr>
                <w:jc w:val="center"/>
              </w:trPr>
              <w:tc>
                <w:tcPr>
                  <w:tcW w:w="3257" w:type="dxa"/>
                  <w:tcBorders>
                    <w:top w:val="single" w:sz="4" w:space="0" w:color="000000"/>
                    <w:left w:val="single" w:sz="4" w:space="0" w:color="000000"/>
                    <w:bottom w:val="single" w:sz="4" w:space="0" w:color="000000"/>
                    <w:right w:val="single" w:sz="4" w:space="0" w:color="000000"/>
                  </w:tcBorders>
                  <w:hideMark/>
                </w:tcPr>
                <w:p w14:paraId="3856DEAF" w14:textId="77777777" w:rsidR="00016E74" w:rsidRPr="00016E74" w:rsidRDefault="00016E74" w:rsidP="00016E74">
                  <w:pPr>
                    <w:widowControl w:val="0"/>
                    <w:suppressAutoHyphens/>
                    <w:spacing w:after="0" w:line="240" w:lineRule="auto"/>
                    <w:rPr>
                      <w:rFonts w:ascii="Times" w:eastAsia="Batang" w:hAnsi="Times" w:cs="Times New Roman"/>
                      <w:bCs/>
                      <w:szCs w:val="24"/>
                      <w:lang w:val="en-GB"/>
                    </w:rPr>
                  </w:pPr>
                  <w:r w:rsidRPr="00016E74">
                    <w:rPr>
                      <w:rFonts w:ascii="Times" w:eastAsia="Batang" w:hAnsi="Times" w:cs="Times New Roman"/>
                      <w:bCs/>
                      <w:szCs w:val="24"/>
                      <w:lang w:val="en-GB"/>
                    </w:rPr>
                    <w:t>AP report</w:t>
                  </w:r>
                </w:p>
              </w:tc>
              <w:tc>
                <w:tcPr>
                  <w:tcW w:w="1228" w:type="dxa"/>
                  <w:tcBorders>
                    <w:top w:val="single" w:sz="4" w:space="0" w:color="000000"/>
                    <w:left w:val="single" w:sz="4" w:space="0" w:color="000000"/>
                    <w:bottom w:val="single" w:sz="4" w:space="0" w:color="000000"/>
                    <w:right w:val="single" w:sz="4" w:space="0" w:color="000000"/>
                  </w:tcBorders>
                  <w:hideMark/>
                </w:tcPr>
                <w:p w14:paraId="77A9B357" w14:textId="77777777" w:rsidR="00016E74" w:rsidRPr="00016E74" w:rsidRDefault="00016E74" w:rsidP="00016E74">
                  <w:pPr>
                    <w:widowControl w:val="0"/>
                    <w:suppressAutoHyphens/>
                    <w:spacing w:after="0" w:line="240" w:lineRule="auto"/>
                    <w:rPr>
                      <w:rFonts w:ascii="Times" w:eastAsia="Batang" w:hAnsi="Times" w:cs="Times New Roman"/>
                      <w:bCs/>
                      <w:szCs w:val="24"/>
                      <w:lang w:val="en-GB"/>
                    </w:rPr>
                  </w:pPr>
                  <w:r w:rsidRPr="00016E74">
                    <w:rPr>
                      <w:rFonts w:ascii="Times" w:eastAsia="Batang" w:hAnsi="Times" w:cs="Times New Roman"/>
                      <w:bCs/>
                      <w:szCs w:val="24"/>
                      <w:lang w:val="en-GB" w:eastAsia="zh-CN"/>
                    </w:rPr>
                    <w:t>Not support</w:t>
                  </w:r>
                </w:p>
              </w:tc>
              <w:tc>
                <w:tcPr>
                  <w:tcW w:w="1229" w:type="dxa"/>
                  <w:tcBorders>
                    <w:top w:val="single" w:sz="4" w:space="0" w:color="000000"/>
                    <w:left w:val="single" w:sz="4" w:space="0" w:color="000000"/>
                    <w:bottom w:val="single" w:sz="4" w:space="0" w:color="000000"/>
                    <w:right w:val="single" w:sz="4" w:space="0" w:color="000000"/>
                  </w:tcBorders>
                  <w:hideMark/>
                </w:tcPr>
                <w:p w14:paraId="445213A8" w14:textId="77777777" w:rsidR="00016E74" w:rsidRPr="00016E74" w:rsidRDefault="00016E74" w:rsidP="00016E74">
                  <w:pPr>
                    <w:widowControl w:val="0"/>
                    <w:suppressAutoHyphens/>
                    <w:spacing w:after="0" w:line="276" w:lineRule="auto"/>
                    <w:rPr>
                      <w:rFonts w:ascii="Times" w:eastAsia="Batang" w:hAnsi="Times" w:cs="Times New Roman"/>
                      <w:bCs/>
                      <w:szCs w:val="24"/>
                      <w:lang w:val="en-GB" w:eastAsia="zh-CN"/>
                    </w:rPr>
                  </w:pPr>
                  <w:r w:rsidRPr="00016E74">
                    <w:rPr>
                      <w:rFonts w:ascii="Times" w:eastAsia="Batang" w:hAnsi="Times" w:cs="Times New Roman"/>
                      <w:bCs/>
                      <w:szCs w:val="24"/>
                      <w:lang w:val="en-GB" w:eastAsia="zh-CN"/>
                    </w:rPr>
                    <w:t>Support</w:t>
                  </w:r>
                  <w:r w:rsidRPr="00016E74">
                    <w:rPr>
                      <w:rFonts w:ascii="Times" w:eastAsia="Batang" w:hAnsi="Times" w:cs="Times New Roman"/>
                      <w:bCs/>
                      <w:color w:val="FF0000"/>
                      <w:szCs w:val="24"/>
                      <w:lang w:val="en-GB" w:eastAsia="zh-TW"/>
                    </w:rPr>
                    <w:t xml:space="preserve"> </w:t>
                  </w:r>
                </w:p>
              </w:tc>
            </w:tr>
            <w:tr w:rsidR="00016E74" w:rsidRPr="00016E74" w14:paraId="232E4E75" w14:textId="77777777">
              <w:trPr>
                <w:jc w:val="center"/>
              </w:trPr>
              <w:tc>
                <w:tcPr>
                  <w:tcW w:w="3257" w:type="dxa"/>
                  <w:tcBorders>
                    <w:top w:val="single" w:sz="4" w:space="0" w:color="000000"/>
                    <w:left w:val="single" w:sz="4" w:space="0" w:color="000000"/>
                    <w:bottom w:val="single" w:sz="4" w:space="0" w:color="000000"/>
                    <w:right w:val="single" w:sz="4" w:space="0" w:color="000000"/>
                  </w:tcBorders>
                  <w:hideMark/>
                </w:tcPr>
                <w:p w14:paraId="04942A1F" w14:textId="77777777" w:rsidR="00016E74" w:rsidRPr="00016E74" w:rsidRDefault="00016E74" w:rsidP="00016E74">
                  <w:pPr>
                    <w:widowControl w:val="0"/>
                    <w:suppressAutoHyphens/>
                    <w:spacing w:after="0" w:line="240" w:lineRule="auto"/>
                    <w:rPr>
                      <w:rFonts w:ascii="Times" w:eastAsia="Batang" w:hAnsi="Times" w:cs="Times New Roman"/>
                      <w:bCs/>
                      <w:szCs w:val="24"/>
                      <w:lang w:val="en-GB"/>
                    </w:rPr>
                  </w:pPr>
                  <w:r w:rsidRPr="00016E74">
                    <w:rPr>
                      <w:rFonts w:ascii="Times" w:eastAsia="Batang" w:hAnsi="Times" w:cs="Times New Roman"/>
                      <w:bCs/>
                      <w:szCs w:val="24"/>
                      <w:lang w:val="en-GB"/>
                    </w:rPr>
                    <w:t>SP report</w:t>
                  </w:r>
                </w:p>
              </w:tc>
              <w:tc>
                <w:tcPr>
                  <w:tcW w:w="1228" w:type="dxa"/>
                  <w:tcBorders>
                    <w:top w:val="single" w:sz="4" w:space="0" w:color="000000"/>
                    <w:left w:val="single" w:sz="4" w:space="0" w:color="000000"/>
                    <w:bottom w:val="single" w:sz="4" w:space="0" w:color="000000"/>
                    <w:right w:val="single" w:sz="4" w:space="0" w:color="000000"/>
                  </w:tcBorders>
                  <w:hideMark/>
                </w:tcPr>
                <w:p w14:paraId="4320993D" w14:textId="77777777" w:rsidR="00016E74" w:rsidRPr="00016E74" w:rsidRDefault="00016E74" w:rsidP="00016E74">
                  <w:pPr>
                    <w:widowControl w:val="0"/>
                    <w:suppressAutoHyphens/>
                    <w:spacing w:after="0" w:line="240" w:lineRule="auto"/>
                    <w:rPr>
                      <w:rFonts w:ascii="Times" w:eastAsia="Batang" w:hAnsi="Times" w:cs="Times New Roman"/>
                      <w:bCs/>
                      <w:szCs w:val="24"/>
                      <w:lang w:val="en-GB"/>
                    </w:rPr>
                  </w:pPr>
                  <w:r w:rsidRPr="00016E74">
                    <w:rPr>
                      <w:rFonts w:ascii="Times" w:eastAsia="Batang" w:hAnsi="Times" w:cs="Times New Roman"/>
                      <w:bCs/>
                      <w:szCs w:val="24"/>
                      <w:lang w:val="en-GB" w:eastAsia="zh-CN"/>
                    </w:rPr>
                    <w:t>Support</w:t>
                  </w:r>
                </w:p>
              </w:tc>
              <w:tc>
                <w:tcPr>
                  <w:tcW w:w="1229" w:type="dxa"/>
                  <w:tcBorders>
                    <w:top w:val="single" w:sz="4" w:space="0" w:color="000000"/>
                    <w:left w:val="single" w:sz="4" w:space="0" w:color="000000"/>
                    <w:bottom w:val="single" w:sz="4" w:space="0" w:color="000000"/>
                    <w:right w:val="single" w:sz="4" w:space="0" w:color="000000"/>
                  </w:tcBorders>
                  <w:hideMark/>
                </w:tcPr>
                <w:p w14:paraId="54A398EB" w14:textId="77777777" w:rsidR="00016E74" w:rsidRPr="00016E74" w:rsidRDefault="00016E74" w:rsidP="00016E74">
                  <w:pPr>
                    <w:widowControl w:val="0"/>
                    <w:suppressAutoHyphens/>
                    <w:spacing w:after="0" w:line="276" w:lineRule="auto"/>
                    <w:rPr>
                      <w:rFonts w:ascii="Times" w:eastAsia="Batang" w:hAnsi="Times" w:cs="Times New Roman"/>
                      <w:bCs/>
                      <w:szCs w:val="24"/>
                      <w:lang w:val="en-GB" w:eastAsia="zh-CN"/>
                    </w:rPr>
                  </w:pPr>
                  <w:r w:rsidRPr="00016E74">
                    <w:rPr>
                      <w:rFonts w:ascii="Times" w:eastAsia="Batang" w:hAnsi="Times" w:cs="Times New Roman"/>
                      <w:bCs/>
                      <w:szCs w:val="24"/>
                      <w:lang w:val="en-GB" w:eastAsia="zh-CN"/>
                    </w:rPr>
                    <w:t>Support</w:t>
                  </w:r>
                </w:p>
              </w:tc>
            </w:tr>
          </w:tbl>
          <w:p w14:paraId="13E699F3" w14:textId="69616A35" w:rsidR="00016E74" w:rsidRPr="00016E74" w:rsidRDefault="00016E74" w:rsidP="00016E74">
            <w:pPr>
              <w:widowControl w:val="0"/>
              <w:numPr>
                <w:ilvl w:val="1"/>
                <w:numId w:val="41"/>
              </w:numPr>
              <w:suppressAutoHyphens/>
              <w:spacing w:after="0" w:line="240" w:lineRule="auto"/>
              <w:rPr>
                <w:rFonts w:ascii="Times" w:eastAsia="Batang" w:hAnsi="Times" w:cs="Times New Roman"/>
                <w:szCs w:val="24"/>
                <w:lang w:val="en-GB" w:eastAsia="ko-KR"/>
              </w:rPr>
            </w:pPr>
            <w:r w:rsidRPr="00016E74">
              <w:rPr>
                <w:rFonts w:ascii="Times" w:eastAsia="Batang" w:hAnsi="Times" w:cs="Times"/>
                <w:szCs w:val="24"/>
                <w:lang w:val="en-GB" w:eastAsia="ko-KR"/>
              </w:rPr>
              <w:lastRenderedPageBreak/>
              <w:t xml:space="preserve">For monitoring resource type for measurement, </w:t>
            </w:r>
            <w:r w:rsidRPr="00016E74">
              <w:rPr>
                <w:rFonts w:ascii="Times" w:eastAsia="Batang" w:hAnsi="Times" w:cs="Times"/>
                <w:color w:val="FF0000"/>
                <w:szCs w:val="24"/>
                <w:lang w:val="en-GB" w:eastAsia="ko-KR"/>
              </w:rPr>
              <w:t xml:space="preserve">periodic, semi-persistent and aperiodic </w:t>
            </w:r>
            <w:r w:rsidRPr="00016E74">
              <w:rPr>
                <w:rFonts w:ascii="Times" w:eastAsia="Batang" w:hAnsi="Times" w:cs="Times"/>
                <w:szCs w:val="24"/>
                <w:lang w:val="en-GB" w:eastAsia="ko-KR"/>
              </w:rPr>
              <w:t>are supported.</w:t>
            </w:r>
          </w:p>
        </w:tc>
      </w:tr>
    </w:tbl>
    <w:p w14:paraId="5881FE1B" w14:textId="46C4707E" w:rsidR="00016E74" w:rsidRDefault="00016E74" w:rsidP="00293F5D">
      <w:pPr>
        <w:spacing w:after="0" w:line="360" w:lineRule="exact"/>
        <w:jc w:val="both"/>
        <w:rPr>
          <w:rFonts w:eastAsiaTheme="minorEastAsia" w:cs="Arial"/>
          <w:sz w:val="22"/>
          <w:lang w:eastAsia="zh-CN"/>
        </w:rPr>
      </w:pPr>
      <w:r>
        <w:rPr>
          <w:rFonts w:eastAsiaTheme="minorEastAsia" w:cs="Arial" w:hint="eastAsia"/>
          <w:sz w:val="22"/>
          <w:lang w:eastAsia="zh-CN"/>
        </w:rPr>
        <w:lastRenderedPageBreak/>
        <w:t>SP/AP type are supported monitoring report and P/SP/AP type are supported for monitoring measurement resource.</w:t>
      </w:r>
      <w:r w:rsidR="001A6394">
        <w:rPr>
          <w:rFonts w:eastAsiaTheme="minorEastAsia" w:cs="Arial" w:hint="eastAsia"/>
          <w:sz w:val="22"/>
          <w:lang w:eastAsia="zh-CN"/>
        </w:rPr>
        <w:t xml:space="preserve"> In our understanding, following combination for monitoring report and </w:t>
      </w:r>
      <w:r w:rsidR="001A6394">
        <w:rPr>
          <w:rFonts w:eastAsiaTheme="minorEastAsia" w:cs="Arial"/>
          <w:sz w:val="22"/>
          <w:lang w:eastAsia="zh-CN"/>
        </w:rPr>
        <w:t>measurement</w:t>
      </w:r>
      <w:r w:rsidR="001A6394">
        <w:rPr>
          <w:rFonts w:eastAsiaTheme="minorEastAsia" w:cs="Arial" w:hint="eastAsia"/>
          <w:sz w:val="22"/>
          <w:lang w:eastAsia="zh-CN"/>
        </w:rPr>
        <w:t xml:space="preserve"> </w:t>
      </w:r>
      <w:r w:rsidR="001A6394">
        <w:rPr>
          <w:rFonts w:eastAsiaTheme="minorEastAsia" w:cs="Arial"/>
          <w:sz w:val="22"/>
          <w:lang w:eastAsia="zh-CN"/>
        </w:rPr>
        <w:t>type</w:t>
      </w:r>
      <w:r w:rsidR="001A6394">
        <w:rPr>
          <w:rFonts w:eastAsiaTheme="minorEastAsia" w:cs="Arial" w:hint="eastAsia"/>
          <w:sz w:val="22"/>
          <w:lang w:eastAsia="zh-CN"/>
        </w:rPr>
        <w:t xml:space="preserve"> should be considered.</w:t>
      </w:r>
    </w:p>
    <w:tbl>
      <w:tblPr>
        <w:tblStyle w:val="aff4"/>
        <w:tblW w:w="0" w:type="auto"/>
        <w:tblLook w:val="04A0" w:firstRow="1" w:lastRow="0" w:firstColumn="1" w:lastColumn="0" w:noHBand="0" w:noVBand="1"/>
      </w:tblPr>
      <w:tblGrid>
        <w:gridCol w:w="5098"/>
        <w:gridCol w:w="2265"/>
        <w:gridCol w:w="2266"/>
      </w:tblGrid>
      <w:tr w:rsidR="001A6394" w14:paraId="51E71788" w14:textId="77777777" w:rsidTr="001A6394">
        <w:tc>
          <w:tcPr>
            <w:tcW w:w="5098" w:type="dxa"/>
            <w:shd w:val="clear" w:color="auto" w:fill="E7E6E6" w:themeFill="background2"/>
          </w:tcPr>
          <w:p w14:paraId="57F035FB" w14:textId="77777777" w:rsidR="001A6394" w:rsidRDefault="001A6394" w:rsidP="001A6394">
            <w:pPr>
              <w:spacing w:after="0" w:line="360" w:lineRule="exact"/>
              <w:jc w:val="right"/>
              <w:rPr>
                <w:rFonts w:eastAsiaTheme="minorEastAsia" w:cs="Arial"/>
                <w:lang w:eastAsia="zh-CN"/>
              </w:rPr>
            </w:pPr>
            <w:r>
              <w:rPr>
                <w:rFonts w:eastAsiaTheme="minorEastAsia" w:cs="Arial"/>
                <w:lang w:eastAsia="zh-CN"/>
              </w:rPr>
              <w:t>M</w:t>
            </w:r>
            <w:r>
              <w:rPr>
                <w:rFonts w:eastAsiaTheme="minorEastAsia" w:cs="Arial" w:hint="eastAsia"/>
                <w:lang w:eastAsia="zh-CN"/>
              </w:rPr>
              <w:t>onitoring report type</w:t>
            </w:r>
          </w:p>
          <w:p w14:paraId="448ACE42" w14:textId="783C94CF" w:rsidR="001A6394" w:rsidRDefault="001A6394" w:rsidP="001A6394">
            <w:pPr>
              <w:spacing w:after="0" w:line="360" w:lineRule="exact"/>
              <w:rPr>
                <w:rFonts w:eastAsiaTheme="minorEastAsia" w:cs="Arial"/>
                <w:lang w:eastAsia="zh-CN"/>
              </w:rPr>
            </w:pPr>
            <w:r>
              <w:rPr>
                <w:rFonts w:eastAsiaTheme="minorEastAsia" w:cs="Arial" w:hint="eastAsia"/>
                <w:lang w:eastAsia="zh-CN"/>
              </w:rPr>
              <w:t xml:space="preserve">Monitoring </w:t>
            </w:r>
            <w:r>
              <w:rPr>
                <w:rFonts w:eastAsiaTheme="minorEastAsia" w:cs="Arial"/>
                <w:lang w:eastAsia="zh-CN"/>
              </w:rPr>
              <w:t>measurement</w:t>
            </w:r>
            <w:r>
              <w:rPr>
                <w:rFonts w:eastAsiaTheme="minorEastAsia" w:cs="Arial" w:hint="eastAsia"/>
                <w:lang w:eastAsia="zh-CN"/>
              </w:rPr>
              <w:t xml:space="preserve"> type</w:t>
            </w:r>
          </w:p>
        </w:tc>
        <w:tc>
          <w:tcPr>
            <w:tcW w:w="2265" w:type="dxa"/>
            <w:shd w:val="clear" w:color="auto" w:fill="E7E6E6" w:themeFill="background2"/>
          </w:tcPr>
          <w:p w14:paraId="1C178F53" w14:textId="34081813" w:rsidR="001A6394" w:rsidRDefault="001A6394" w:rsidP="00293F5D">
            <w:pPr>
              <w:spacing w:after="0" w:line="360" w:lineRule="exact"/>
              <w:jc w:val="both"/>
              <w:rPr>
                <w:rFonts w:eastAsiaTheme="minorEastAsia" w:cs="Arial"/>
                <w:lang w:eastAsia="zh-CN"/>
              </w:rPr>
            </w:pPr>
            <w:r>
              <w:rPr>
                <w:rFonts w:eastAsiaTheme="minorEastAsia" w:cs="Arial" w:hint="eastAsia"/>
                <w:lang w:eastAsia="zh-CN"/>
              </w:rPr>
              <w:t>SP report</w:t>
            </w:r>
          </w:p>
        </w:tc>
        <w:tc>
          <w:tcPr>
            <w:tcW w:w="2266" w:type="dxa"/>
            <w:shd w:val="clear" w:color="auto" w:fill="E7E6E6" w:themeFill="background2"/>
          </w:tcPr>
          <w:p w14:paraId="4EE2125B" w14:textId="33A93327" w:rsidR="001A6394" w:rsidRDefault="001A6394" w:rsidP="00293F5D">
            <w:pPr>
              <w:spacing w:after="0" w:line="360" w:lineRule="exact"/>
              <w:jc w:val="both"/>
              <w:rPr>
                <w:rFonts w:eastAsiaTheme="minorEastAsia" w:cs="Arial"/>
                <w:lang w:eastAsia="zh-CN"/>
              </w:rPr>
            </w:pPr>
            <w:r>
              <w:rPr>
                <w:rFonts w:eastAsiaTheme="minorEastAsia" w:cs="Arial" w:hint="eastAsia"/>
                <w:lang w:eastAsia="zh-CN"/>
              </w:rPr>
              <w:t>AP report</w:t>
            </w:r>
          </w:p>
        </w:tc>
      </w:tr>
      <w:tr w:rsidR="001A6394" w14:paraId="10F23E8B" w14:textId="77777777" w:rsidTr="001A6394">
        <w:tc>
          <w:tcPr>
            <w:tcW w:w="5098" w:type="dxa"/>
          </w:tcPr>
          <w:p w14:paraId="297E9A85" w14:textId="6BF7E421" w:rsidR="001A6394" w:rsidRDefault="001A6394" w:rsidP="00293F5D">
            <w:pPr>
              <w:spacing w:after="0" w:line="360" w:lineRule="exact"/>
              <w:jc w:val="both"/>
              <w:rPr>
                <w:rFonts w:eastAsiaTheme="minorEastAsia" w:cs="Arial"/>
                <w:lang w:eastAsia="zh-CN"/>
              </w:rPr>
            </w:pPr>
            <w:r>
              <w:rPr>
                <w:rFonts w:eastAsiaTheme="minorEastAsia" w:cs="Arial" w:hint="eastAsia"/>
                <w:lang w:eastAsia="zh-CN"/>
              </w:rPr>
              <w:t>Periodic</w:t>
            </w:r>
          </w:p>
        </w:tc>
        <w:tc>
          <w:tcPr>
            <w:tcW w:w="2265" w:type="dxa"/>
          </w:tcPr>
          <w:p w14:paraId="78FA992F" w14:textId="38088E07" w:rsidR="001A6394" w:rsidRDefault="007C55ED" w:rsidP="00293F5D">
            <w:pPr>
              <w:spacing w:after="0" w:line="360" w:lineRule="exact"/>
              <w:jc w:val="both"/>
              <w:rPr>
                <w:rFonts w:eastAsiaTheme="minorEastAsia" w:cs="Arial"/>
                <w:lang w:eastAsia="zh-CN"/>
              </w:rPr>
            </w:pPr>
            <w:r>
              <w:rPr>
                <w:rFonts w:eastAsiaTheme="minorEastAsia" w:cs="Arial" w:hint="eastAsia"/>
                <w:lang w:eastAsia="zh-CN"/>
              </w:rPr>
              <w:t>Support</w:t>
            </w:r>
          </w:p>
        </w:tc>
        <w:tc>
          <w:tcPr>
            <w:tcW w:w="2266" w:type="dxa"/>
          </w:tcPr>
          <w:p w14:paraId="40D39B1B" w14:textId="4991B34C" w:rsidR="001A6394" w:rsidRDefault="007C55ED" w:rsidP="00293F5D">
            <w:pPr>
              <w:spacing w:after="0" w:line="360" w:lineRule="exact"/>
              <w:jc w:val="both"/>
              <w:rPr>
                <w:rFonts w:eastAsiaTheme="minorEastAsia" w:cs="Arial"/>
                <w:lang w:eastAsia="zh-CN"/>
              </w:rPr>
            </w:pPr>
            <w:r>
              <w:rPr>
                <w:rFonts w:eastAsiaTheme="minorEastAsia" w:cs="Arial"/>
                <w:lang w:eastAsia="zh-CN"/>
              </w:rPr>
              <w:t>S</w:t>
            </w:r>
            <w:r>
              <w:rPr>
                <w:rFonts w:eastAsiaTheme="minorEastAsia" w:cs="Arial" w:hint="eastAsia"/>
                <w:lang w:eastAsia="zh-CN"/>
              </w:rPr>
              <w:t>upport</w:t>
            </w:r>
          </w:p>
        </w:tc>
      </w:tr>
      <w:tr w:rsidR="001A6394" w14:paraId="0A53357D" w14:textId="77777777" w:rsidTr="001A6394">
        <w:tc>
          <w:tcPr>
            <w:tcW w:w="5098" w:type="dxa"/>
          </w:tcPr>
          <w:p w14:paraId="2A9753E6" w14:textId="18EB54F6" w:rsidR="001A6394" w:rsidRDefault="001A6394" w:rsidP="00293F5D">
            <w:pPr>
              <w:spacing w:after="0" w:line="360" w:lineRule="exact"/>
              <w:jc w:val="both"/>
              <w:rPr>
                <w:rFonts w:eastAsiaTheme="minorEastAsia" w:cs="Arial"/>
                <w:lang w:eastAsia="zh-CN"/>
              </w:rPr>
            </w:pPr>
            <w:r>
              <w:rPr>
                <w:rFonts w:eastAsiaTheme="minorEastAsia" w:cs="Arial" w:hint="eastAsia"/>
                <w:lang w:eastAsia="zh-CN"/>
              </w:rPr>
              <w:t>Semi-persistent</w:t>
            </w:r>
          </w:p>
        </w:tc>
        <w:tc>
          <w:tcPr>
            <w:tcW w:w="2265" w:type="dxa"/>
          </w:tcPr>
          <w:p w14:paraId="0A7A72B4" w14:textId="3D27D7D2" w:rsidR="001A6394" w:rsidRDefault="007C55ED" w:rsidP="00293F5D">
            <w:pPr>
              <w:spacing w:after="0" w:line="360" w:lineRule="exact"/>
              <w:jc w:val="both"/>
              <w:rPr>
                <w:rFonts w:eastAsiaTheme="minorEastAsia" w:cs="Arial"/>
                <w:lang w:eastAsia="zh-CN"/>
              </w:rPr>
            </w:pPr>
            <w:r>
              <w:rPr>
                <w:rFonts w:eastAsiaTheme="minorEastAsia" w:cs="Arial" w:hint="eastAsia"/>
                <w:lang w:eastAsia="zh-CN"/>
              </w:rPr>
              <w:t>Support</w:t>
            </w:r>
          </w:p>
        </w:tc>
        <w:tc>
          <w:tcPr>
            <w:tcW w:w="2266" w:type="dxa"/>
          </w:tcPr>
          <w:p w14:paraId="168F1632" w14:textId="0F4CB7AC" w:rsidR="001A6394" w:rsidRDefault="007C55ED" w:rsidP="00293F5D">
            <w:pPr>
              <w:spacing w:after="0" w:line="360" w:lineRule="exact"/>
              <w:jc w:val="both"/>
              <w:rPr>
                <w:rFonts w:eastAsiaTheme="minorEastAsia" w:cs="Arial"/>
                <w:lang w:eastAsia="zh-CN"/>
              </w:rPr>
            </w:pPr>
            <w:r>
              <w:rPr>
                <w:rFonts w:eastAsiaTheme="minorEastAsia" w:cs="Arial" w:hint="eastAsia"/>
                <w:lang w:eastAsia="zh-CN"/>
              </w:rPr>
              <w:t>Support</w:t>
            </w:r>
          </w:p>
        </w:tc>
      </w:tr>
      <w:tr w:rsidR="001A6394" w14:paraId="4BEF20EE" w14:textId="77777777" w:rsidTr="001A6394">
        <w:tc>
          <w:tcPr>
            <w:tcW w:w="5098" w:type="dxa"/>
          </w:tcPr>
          <w:p w14:paraId="385604E8" w14:textId="047162B7" w:rsidR="001A6394" w:rsidRDefault="001A6394" w:rsidP="00293F5D">
            <w:pPr>
              <w:spacing w:after="0" w:line="360" w:lineRule="exact"/>
              <w:jc w:val="both"/>
              <w:rPr>
                <w:rFonts w:eastAsiaTheme="minorEastAsia" w:cs="Arial"/>
                <w:lang w:eastAsia="zh-CN"/>
              </w:rPr>
            </w:pPr>
            <w:r>
              <w:rPr>
                <w:rFonts w:eastAsiaTheme="minorEastAsia" w:cs="Arial" w:hint="eastAsia"/>
                <w:lang w:eastAsia="zh-CN"/>
              </w:rPr>
              <w:t>Aperiodic</w:t>
            </w:r>
          </w:p>
        </w:tc>
        <w:tc>
          <w:tcPr>
            <w:tcW w:w="2265" w:type="dxa"/>
          </w:tcPr>
          <w:p w14:paraId="57070AC7" w14:textId="4539C1FB" w:rsidR="001A6394" w:rsidRDefault="007C55ED" w:rsidP="00293F5D">
            <w:pPr>
              <w:spacing w:after="0" w:line="360" w:lineRule="exact"/>
              <w:jc w:val="both"/>
              <w:rPr>
                <w:rFonts w:eastAsiaTheme="minorEastAsia" w:cs="Arial"/>
                <w:lang w:eastAsia="zh-CN"/>
              </w:rPr>
            </w:pPr>
            <w:r>
              <w:rPr>
                <w:rFonts w:eastAsiaTheme="minorEastAsia" w:cs="Arial" w:hint="eastAsia"/>
                <w:lang w:eastAsia="zh-CN"/>
              </w:rPr>
              <w:t>Not support</w:t>
            </w:r>
          </w:p>
        </w:tc>
        <w:tc>
          <w:tcPr>
            <w:tcW w:w="2266" w:type="dxa"/>
          </w:tcPr>
          <w:p w14:paraId="44354D9C" w14:textId="44D673D3" w:rsidR="001A6394" w:rsidRDefault="007C55ED" w:rsidP="00293F5D">
            <w:pPr>
              <w:spacing w:after="0" w:line="360" w:lineRule="exact"/>
              <w:jc w:val="both"/>
              <w:rPr>
                <w:rFonts w:eastAsiaTheme="minorEastAsia" w:cs="Arial"/>
                <w:lang w:eastAsia="zh-CN"/>
              </w:rPr>
            </w:pPr>
            <w:r>
              <w:rPr>
                <w:rFonts w:eastAsiaTheme="minorEastAsia" w:cs="Arial" w:hint="eastAsia"/>
                <w:lang w:eastAsia="zh-CN"/>
              </w:rPr>
              <w:t>Support</w:t>
            </w:r>
          </w:p>
        </w:tc>
      </w:tr>
    </w:tbl>
    <w:p w14:paraId="06E8B946" w14:textId="3794AA32" w:rsidR="00D73E91" w:rsidRPr="00A77229" w:rsidRDefault="009C5F0C" w:rsidP="00293F5D">
      <w:pPr>
        <w:spacing w:after="0" w:line="360" w:lineRule="exact"/>
        <w:jc w:val="both"/>
        <w:rPr>
          <w:rFonts w:eastAsiaTheme="minorEastAsia" w:cs="Arial"/>
          <w:sz w:val="22"/>
          <w:lang w:eastAsia="zh-CN"/>
        </w:rPr>
      </w:pPr>
      <w:r>
        <w:rPr>
          <w:rFonts w:eastAsiaTheme="minorEastAsia" w:cs="Arial" w:hint="eastAsia"/>
          <w:sz w:val="22"/>
          <w:lang w:eastAsia="zh-CN"/>
        </w:rPr>
        <w:t xml:space="preserve">For SP and AP report, to define the monitoring report delay, the starting point could be the reception of </w:t>
      </w:r>
      <w:r w:rsidR="00D27658">
        <w:rPr>
          <w:rFonts w:eastAsiaTheme="minorEastAsia" w:cs="Arial" w:hint="eastAsia"/>
          <w:sz w:val="22"/>
          <w:lang w:eastAsia="zh-CN"/>
        </w:rPr>
        <w:t>triggering</w:t>
      </w:r>
      <w:r>
        <w:rPr>
          <w:rFonts w:eastAsiaTheme="minorEastAsia" w:cs="Arial" w:hint="eastAsia"/>
          <w:sz w:val="22"/>
          <w:lang w:eastAsia="zh-CN"/>
        </w:rPr>
        <w:t xml:space="preserve"> command (DCI or MAC-CE)</w:t>
      </w:r>
      <w:r w:rsidR="00B624A7">
        <w:rPr>
          <w:rFonts w:eastAsiaTheme="minorEastAsia" w:cs="Arial" w:hint="eastAsia"/>
          <w:sz w:val="22"/>
          <w:lang w:eastAsia="zh-CN"/>
        </w:rPr>
        <w:t xml:space="preserve"> for </w:t>
      </w:r>
      <w:r w:rsidR="00B624A7">
        <w:rPr>
          <w:rFonts w:eastAsiaTheme="minorEastAsia" w:cs="Arial"/>
          <w:sz w:val="22"/>
          <w:lang w:eastAsia="zh-CN"/>
        </w:rPr>
        <w:t>monitoring</w:t>
      </w:r>
      <w:r w:rsidR="00B624A7">
        <w:rPr>
          <w:rFonts w:eastAsiaTheme="minorEastAsia" w:cs="Arial" w:hint="eastAsia"/>
          <w:sz w:val="22"/>
          <w:lang w:eastAsia="zh-CN"/>
        </w:rPr>
        <w:t xml:space="preserve"> report</w:t>
      </w:r>
      <w:r w:rsidR="00523975">
        <w:rPr>
          <w:rFonts w:eastAsiaTheme="minorEastAsia" w:cs="Arial" w:hint="eastAsia"/>
          <w:sz w:val="22"/>
          <w:lang w:eastAsia="zh-CN"/>
        </w:rPr>
        <w:t>, and the ending point could be the transmission of first monitoring report.</w:t>
      </w:r>
      <w:r w:rsidR="00B624A7">
        <w:rPr>
          <w:rFonts w:eastAsiaTheme="minorEastAsia" w:cs="Arial" w:hint="eastAsia"/>
          <w:sz w:val="22"/>
          <w:lang w:eastAsia="zh-CN"/>
        </w:rPr>
        <w:t xml:space="preserve"> In this way, the overall monitoring report delay includes the monitoring measurement delay, monitoring processing delay and report</w:t>
      </w:r>
      <w:r w:rsidR="00E722D3">
        <w:rPr>
          <w:rFonts w:eastAsiaTheme="minorEastAsia" w:cs="Arial" w:hint="eastAsia"/>
          <w:sz w:val="22"/>
          <w:lang w:eastAsia="zh-CN"/>
        </w:rPr>
        <w:t xml:space="preserve">ing </w:t>
      </w:r>
      <w:r w:rsidR="00B624A7">
        <w:rPr>
          <w:rFonts w:eastAsiaTheme="minorEastAsia" w:cs="Arial" w:hint="eastAsia"/>
          <w:sz w:val="22"/>
          <w:lang w:eastAsia="zh-CN"/>
        </w:rPr>
        <w:t>delay</w:t>
      </w:r>
      <w:r w:rsidR="00D27658">
        <w:rPr>
          <w:rFonts w:eastAsiaTheme="minorEastAsia" w:cs="Arial" w:hint="eastAsia"/>
          <w:sz w:val="22"/>
          <w:lang w:eastAsia="zh-CN"/>
        </w:rPr>
        <w:t xml:space="preserve">, which align with </w:t>
      </w:r>
      <w:r w:rsidR="00D73E91">
        <w:rPr>
          <w:rFonts w:eastAsiaTheme="minorEastAsia" w:cs="Arial" w:hint="eastAsia"/>
          <w:sz w:val="22"/>
          <w:lang w:eastAsia="zh-CN"/>
        </w:rPr>
        <w:t xml:space="preserve">the framework of </w:t>
      </w:r>
      <w:r w:rsidR="00D27658">
        <w:rPr>
          <w:rFonts w:eastAsiaTheme="minorEastAsia" w:cs="Arial" w:hint="eastAsia"/>
          <w:sz w:val="22"/>
          <w:lang w:eastAsia="zh-CN"/>
        </w:rPr>
        <w:t>prediction report delay agreed for beam management</w:t>
      </w:r>
      <w:r w:rsidR="00B624A7">
        <w:rPr>
          <w:rFonts w:eastAsiaTheme="minorEastAsia" w:cs="Arial" w:hint="eastAsia"/>
          <w:sz w:val="22"/>
          <w:lang w:eastAsia="zh-CN"/>
        </w:rPr>
        <w:t>.</w:t>
      </w:r>
      <w:r w:rsidR="00E722D3">
        <w:rPr>
          <w:rFonts w:eastAsiaTheme="minorEastAsia" w:cs="Arial" w:hint="eastAsia"/>
          <w:sz w:val="22"/>
          <w:lang w:eastAsia="zh-CN"/>
        </w:rPr>
        <w:t xml:space="preserve"> </w:t>
      </w:r>
      <w:r w:rsidR="00D73E91">
        <w:rPr>
          <w:rFonts w:eastAsiaTheme="minorEastAsia" w:cs="Arial"/>
          <w:sz w:val="22"/>
          <w:lang w:eastAsia="zh-CN"/>
        </w:rPr>
        <w:t>T</w:t>
      </w:r>
      <w:r w:rsidR="00D73E91">
        <w:rPr>
          <w:rFonts w:eastAsiaTheme="minorEastAsia" w:cs="Arial" w:hint="eastAsia"/>
          <w:sz w:val="22"/>
          <w:lang w:eastAsia="zh-CN"/>
        </w:rPr>
        <w:t xml:space="preserve">he uncertainty point is the </w:t>
      </w:r>
      <w:r w:rsidR="00D73E91">
        <w:rPr>
          <w:rFonts w:eastAsiaTheme="minorEastAsia" w:cs="Arial"/>
          <w:sz w:val="22"/>
          <w:lang w:eastAsia="zh-CN"/>
        </w:rPr>
        <w:t>measurement</w:t>
      </w:r>
      <w:r w:rsidR="00D73E91">
        <w:rPr>
          <w:rFonts w:eastAsiaTheme="minorEastAsia" w:cs="Arial" w:hint="eastAsia"/>
          <w:sz w:val="22"/>
          <w:lang w:eastAsia="zh-CN"/>
        </w:rPr>
        <w:t xml:space="preserve"> delay </w:t>
      </w:r>
      <w:r w:rsidR="00A77229">
        <w:rPr>
          <w:rFonts w:eastAsiaTheme="minorEastAsia" w:cs="Arial"/>
          <w:sz w:val="22"/>
          <w:lang w:eastAsia="zh-CN"/>
        </w:rPr>
        <w:t>that</w:t>
      </w:r>
      <w:r w:rsidR="00A77229">
        <w:rPr>
          <w:rFonts w:eastAsiaTheme="minorEastAsia" w:cs="Arial" w:hint="eastAsia"/>
          <w:sz w:val="22"/>
          <w:lang w:eastAsia="zh-CN"/>
        </w:rPr>
        <w:t xml:space="preserve"> </w:t>
      </w:r>
      <w:r w:rsidR="00D73E91">
        <w:rPr>
          <w:rFonts w:eastAsiaTheme="minorEastAsia" w:cs="Arial" w:hint="eastAsia"/>
          <w:sz w:val="22"/>
          <w:lang w:eastAsia="zh-CN"/>
        </w:rPr>
        <w:t xml:space="preserve">relates to the </w:t>
      </w:r>
      <w:r w:rsidR="00D73E91">
        <w:rPr>
          <w:rFonts w:eastAsiaTheme="minorEastAsia" w:cs="Arial"/>
          <w:sz w:val="22"/>
          <w:lang w:eastAsia="zh-CN"/>
        </w:rPr>
        <w:t>length</w:t>
      </w:r>
      <w:r w:rsidR="00D73E91">
        <w:rPr>
          <w:rFonts w:eastAsiaTheme="minorEastAsia" w:cs="Arial" w:hint="eastAsia"/>
          <w:sz w:val="22"/>
          <w:lang w:eastAsia="zh-CN"/>
        </w:rPr>
        <w:t xml:space="preserve"> of observation window for CSI prediction</w:t>
      </w:r>
      <w:r w:rsidR="00A77229">
        <w:rPr>
          <w:rFonts w:eastAsiaTheme="minorEastAsia" w:cs="Arial" w:hint="eastAsia"/>
          <w:sz w:val="22"/>
          <w:lang w:eastAsia="zh-CN"/>
        </w:rPr>
        <w:t xml:space="preserve"> and is up to the </w:t>
      </w:r>
      <w:r w:rsidR="00A77229">
        <w:rPr>
          <w:rFonts w:eastAsiaTheme="minorEastAsia" w:cs="Arial"/>
          <w:sz w:val="22"/>
          <w:lang w:eastAsia="zh-CN"/>
        </w:rPr>
        <w:t>implementation</w:t>
      </w:r>
      <w:r w:rsidR="00A77229">
        <w:rPr>
          <w:rFonts w:eastAsiaTheme="minorEastAsia" w:cs="Arial" w:hint="eastAsia"/>
          <w:sz w:val="22"/>
          <w:lang w:eastAsia="zh-CN"/>
        </w:rPr>
        <w:t xml:space="preserve"> of specific model.</w:t>
      </w:r>
    </w:p>
    <w:p w14:paraId="51AF9F56" w14:textId="537DE182" w:rsidR="001A6394" w:rsidRDefault="00BF0974" w:rsidP="00293F5D">
      <w:pPr>
        <w:spacing w:after="0" w:line="360" w:lineRule="exact"/>
        <w:jc w:val="both"/>
        <w:rPr>
          <w:rFonts w:eastAsiaTheme="minorEastAsia" w:cs="Arial"/>
          <w:sz w:val="22"/>
          <w:lang w:eastAsia="zh-CN"/>
        </w:rPr>
      </w:pPr>
      <w:r>
        <w:rPr>
          <w:rFonts w:eastAsiaTheme="minorEastAsia" w:cs="Arial" w:hint="eastAsia"/>
          <w:sz w:val="22"/>
          <w:lang w:eastAsia="zh-CN"/>
        </w:rPr>
        <w:t>Therefore, a</w:t>
      </w:r>
      <w:r w:rsidR="00E14536">
        <w:rPr>
          <w:rFonts w:eastAsiaTheme="minorEastAsia" w:cs="Arial" w:hint="eastAsia"/>
          <w:sz w:val="22"/>
          <w:lang w:eastAsia="zh-CN"/>
        </w:rPr>
        <w:t>n alternative is to take the last RS occasion associated with corresponding monitoring report as the starting point</w:t>
      </w:r>
      <w:r>
        <w:rPr>
          <w:rFonts w:eastAsiaTheme="minorEastAsia" w:cs="Arial" w:hint="eastAsia"/>
          <w:sz w:val="22"/>
          <w:lang w:eastAsia="zh-CN"/>
        </w:rPr>
        <w:t xml:space="preserve">. In this way, </w:t>
      </w:r>
      <w:r>
        <w:rPr>
          <w:rFonts w:eastAsiaTheme="minorEastAsia" w:cs="Arial"/>
          <w:sz w:val="22"/>
          <w:lang w:eastAsia="zh-CN"/>
        </w:rPr>
        <w:t>the</w:t>
      </w:r>
      <w:r>
        <w:rPr>
          <w:rFonts w:eastAsiaTheme="minorEastAsia" w:cs="Arial" w:hint="eastAsia"/>
          <w:sz w:val="22"/>
          <w:lang w:eastAsia="zh-CN"/>
        </w:rPr>
        <w:t xml:space="preserve"> measurement delay is ignored, and only processing delay and reporting delay is considered.</w:t>
      </w:r>
    </w:p>
    <w:p w14:paraId="20C60C2D" w14:textId="0941D7BF" w:rsidR="00BF0974" w:rsidRPr="00C64ABA" w:rsidRDefault="0016473F" w:rsidP="00293F5D">
      <w:pPr>
        <w:spacing w:after="0" w:line="360" w:lineRule="exact"/>
        <w:jc w:val="both"/>
        <w:rPr>
          <w:rFonts w:eastAsiaTheme="minorEastAsia" w:cs="Arial"/>
          <w:b/>
          <w:bCs/>
          <w:i/>
          <w:iCs/>
          <w:sz w:val="22"/>
          <w:lang w:eastAsia="zh-CN"/>
        </w:rPr>
      </w:pPr>
      <w:r w:rsidRPr="00C64ABA">
        <w:rPr>
          <w:rFonts w:eastAsiaTheme="minorEastAsia" w:cs="Arial"/>
          <w:b/>
          <w:bCs/>
          <w:i/>
          <w:iCs/>
          <w:sz w:val="22"/>
          <w:lang w:eastAsia="zh-CN"/>
        </w:rPr>
        <w:t>Observation 1: To define the monitoring report delay, there are two possible alternatives,</w:t>
      </w:r>
    </w:p>
    <w:p w14:paraId="64C6A916" w14:textId="7ADA1762" w:rsidR="0016473F" w:rsidRPr="00C64ABA" w:rsidRDefault="0016473F" w:rsidP="00C64ABA">
      <w:pPr>
        <w:pStyle w:val="aff"/>
        <w:numPr>
          <w:ilvl w:val="0"/>
          <w:numId w:val="37"/>
        </w:numPr>
        <w:spacing w:line="360" w:lineRule="exact"/>
        <w:jc w:val="both"/>
        <w:rPr>
          <w:rFonts w:ascii="Arial" w:eastAsiaTheme="minorEastAsia" w:hAnsi="Arial" w:cs="Arial"/>
          <w:b/>
          <w:bCs/>
          <w:i/>
          <w:iCs/>
          <w:lang w:eastAsia="zh-CN"/>
        </w:rPr>
      </w:pPr>
      <w:r w:rsidRPr="00C64ABA">
        <w:rPr>
          <w:rFonts w:ascii="Arial" w:eastAsiaTheme="minorEastAsia" w:hAnsi="Arial" w:cs="Arial"/>
          <w:b/>
          <w:bCs/>
          <w:i/>
          <w:iCs/>
          <w:lang w:eastAsia="zh-CN"/>
        </w:rPr>
        <w:t xml:space="preserve">Alt 1: take the reception of triggering command as the stating point, and the transmission of first monitoring report as the </w:t>
      </w:r>
      <w:r w:rsidR="00C64ABA" w:rsidRPr="00C64ABA">
        <w:rPr>
          <w:rFonts w:ascii="Arial" w:eastAsiaTheme="minorEastAsia" w:hAnsi="Arial" w:cs="Arial"/>
          <w:b/>
          <w:bCs/>
          <w:i/>
          <w:iCs/>
          <w:lang w:eastAsia="zh-CN"/>
        </w:rPr>
        <w:t>ending point.</w:t>
      </w:r>
    </w:p>
    <w:p w14:paraId="3C0366C6" w14:textId="5EA4F847" w:rsidR="0016473F" w:rsidRPr="00C64ABA" w:rsidRDefault="0016473F" w:rsidP="00C64ABA">
      <w:pPr>
        <w:pStyle w:val="aff"/>
        <w:numPr>
          <w:ilvl w:val="0"/>
          <w:numId w:val="37"/>
        </w:numPr>
        <w:spacing w:line="360" w:lineRule="exact"/>
        <w:jc w:val="both"/>
        <w:rPr>
          <w:rFonts w:ascii="Arial" w:eastAsiaTheme="minorEastAsia" w:hAnsi="Arial" w:cs="Arial"/>
          <w:b/>
          <w:bCs/>
          <w:i/>
          <w:iCs/>
          <w:lang w:eastAsia="zh-CN"/>
        </w:rPr>
      </w:pPr>
      <w:r w:rsidRPr="00C64ABA">
        <w:rPr>
          <w:rFonts w:ascii="Arial" w:eastAsiaTheme="minorEastAsia" w:hAnsi="Arial" w:cs="Arial"/>
          <w:b/>
          <w:bCs/>
          <w:i/>
          <w:iCs/>
          <w:lang w:eastAsia="zh-CN"/>
        </w:rPr>
        <w:t>Alt 2:</w:t>
      </w:r>
      <w:r w:rsidR="00C64ABA" w:rsidRPr="00C64ABA">
        <w:rPr>
          <w:rFonts w:ascii="Arial" w:eastAsiaTheme="minorEastAsia" w:hAnsi="Arial" w:cs="Arial"/>
          <w:b/>
          <w:bCs/>
          <w:i/>
          <w:iCs/>
          <w:lang w:eastAsia="zh-CN"/>
        </w:rPr>
        <w:t xml:space="preserve"> take the last RS occasion associated with corresponding monitoring report as the start point and the transmission of first monitoring report as the ending point.</w:t>
      </w:r>
    </w:p>
    <w:p w14:paraId="53B19359" w14:textId="1F663FA8" w:rsidR="00821B64" w:rsidRDefault="00C64ABA" w:rsidP="00293F5D">
      <w:pPr>
        <w:spacing w:after="0" w:line="360" w:lineRule="exact"/>
        <w:jc w:val="both"/>
        <w:rPr>
          <w:rFonts w:eastAsiaTheme="minorEastAsia" w:cs="Arial"/>
          <w:b/>
          <w:bCs/>
          <w:sz w:val="22"/>
          <w:lang w:eastAsia="zh-CN"/>
        </w:rPr>
      </w:pPr>
      <w:r w:rsidRPr="00C64ABA">
        <w:rPr>
          <w:rFonts w:eastAsiaTheme="minorEastAsia" w:cs="Arial" w:hint="eastAsia"/>
          <w:b/>
          <w:bCs/>
          <w:sz w:val="22"/>
          <w:lang w:eastAsia="zh-CN"/>
        </w:rPr>
        <w:t xml:space="preserve">Proposal 1: </w:t>
      </w:r>
      <w:r w:rsidR="007F24FD">
        <w:rPr>
          <w:rFonts w:eastAsiaTheme="minorEastAsia" w:cs="Arial" w:hint="eastAsia"/>
          <w:b/>
          <w:bCs/>
          <w:sz w:val="22"/>
          <w:lang w:eastAsia="zh-CN"/>
        </w:rPr>
        <w:t>S</w:t>
      </w:r>
      <w:r w:rsidRPr="00C64ABA">
        <w:rPr>
          <w:rFonts w:eastAsiaTheme="minorEastAsia" w:cs="Arial" w:hint="eastAsia"/>
          <w:b/>
          <w:bCs/>
          <w:sz w:val="22"/>
          <w:lang w:eastAsia="zh-CN"/>
        </w:rPr>
        <w:t>uggest to discuss whether to consider monitoring measurement delay when defining monitoring report delay.</w:t>
      </w:r>
    </w:p>
    <w:p w14:paraId="70913E18" w14:textId="77777777" w:rsidR="00E15ABC" w:rsidRPr="00C64ABA" w:rsidRDefault="00E15ABC" w:rsidP="00293F5D">
      <w:pPr>
        <w:spacing w:after="0" w:line="360" w:lineRule="exact"/>
        <w:jc w:val="both"/>
        <w:rPr>
          <w:rFonts w:eastAsiaTheme="minorEastAsia" w:cs="Arial"/>
          <w:b/>
          <w:bCs/>
          <w:sz w:val="22"/>
          <w:lang w:eastAsia="zh-CN"/>
        </w:rPr>
      </w:pPr>
    </w:p>
    <w:p w14:paraId="287659BB" w14:textId="77777777" w:rsidR="00A55F7E" w:rsidRDefault="00FB0C79" w:rsidP="00A55F7E">
      <w:pPr>
        <w:spacing w:after="0" w:line="360" w:lineRule="exact"/>
        <w:jc w:val="both"/>
        <w:rPr>
          <w:rFonts w:eastAsiaTheme="minorEastAsia" w:cs="Arial"/>
          <w:sz w:val="22"/>
          <w:lang w:eastAsia="zh-CN"/>
        </w:rPr>
      </w:pPr>
      <w:r>
        <w:rPr>
          <w:rFonts w:eastAsiaTheme="minorEastAsia" w:cs="Arial" w:hint="eastAsia"/>
          <w:sz w:val="22"/>
          <w:lang w:eastAsia="zh-CN"/>
        </w:rPr>
        <w:t xml:space="preserve">Regarding to the second FFS point, </w:t>
      </w:r>
      <w:r w:rsidR="00E15ABC">
        <w:rPr>
          <w:rFonts w:eastAsiaTheme="minorEastAsia" w:cs="Arial"/>
          <w:sz w:val="22"/>
          <w:lang w:eastAsia="zh-CN"/>
        </w:rPr>
        <w:t>“</w:t>
      </w:r>
      <w:r w:rsidR="00E15ABC" w:rsidRPr="00E15ABC">
        <w:rPr>
          <w:rFonts w:eastAsiaTheme="minorEastAsia" w:cs="Arial"/>
          <w:sz w:val="22"/>
          <w:lang w:eastAsia="zh-CN"/>
        </w:rPr>
        <w:t>FFS on whether accuracy requirement can be defined/checked</w:t>
      </w:r>
      <w:r w:rsidR="00E15ABC">
        <w:rPr>
          <w:rFonts w:eastAsiaTheme="minorEastAsia" w:cs="Arial"/>
          <w:sz w:val="22"/>
          <w:lang w:eastAsia="zh-CN"/>
        </w:rPr>
        <w:t>”</w:t>
      </w:r>
      <w:r w:rsidR="00E15ABC">
        <w:rPr>
          <w:rFonts w:eastAsiaTheme="minorEastAsia" w:cs="Arial" w:hint="eastAsia"/>
          <w:sz w:val="22"/>
          <w:lang w:eastAsia="zh-CN"/>
        </w:rPr>
        <w:t>.</w:t>
      </w:r>
      <w:r w:rsidR="00A55F7E">
        <w:rPr>
          <w:rFonts w:eastAsiaTheme="minorEastAsia" w:cs="Arial" w:hint="eastAsia"/>
          <w:sz w:val="22"/>
          <w:lang w:eastAsia="zh-CN"/>
        </w:rPr>
        <w:t xml:space="preserve"> In our understanding, it s</w:t>
      </w:r>
      <w:r w:rsidR="00E15ABC" w:rsidRPr="00E15ABC">
        <w:rPr>
          <w:rFonts w:eastAsiaTheme="minorEastAsia" w:cs="Arial"/>
          <w:sz w:val="22"/>
          <w:lang w:eastAsia="zh-CN"/>
        </w:rPr>
        <w:t xml:space="preserve">eems unnecessary to define </w:t>
      </w:r>
      <w:r w:rsidR="00A55F7E">
        <w:rPr>
          <w:rFonts w:eastAsiaTheme="minorEastAsia" w:cs="Arial" w:hint="eastAsia"/>
          <w:sz w:val="22"/>
          <w:lang w:eastAsia="zh-CN"/>
        </w:rPr>
        <w:t xml:space="preserve">accuracy requirement for monitoring report. First, from the perspective of definition, </w:t>
      </w:r>
      <w:r w:rsidR="00A55F7E" w:rsidRPr="00A55F7E">
        <w:rPr>
          <w:rFonts w:eastAsiaTheme="minorEastAsia" w:cs="Arial"/>
          <w:sz w:val="22"/>
          <w:lang w:eastAsia="zh-CN"/>
        </w:rPr>
        <w:t xml:space="preserve">if </w:t>
      </w:r>
      <w:r w:rsidR="00A55F7E">
        <w:rPr>
          <w:rFonts w:eastAsiaTheme="minorEastAsia" w:cs="Arial" w:hint="eastAsia"/>
          <w:sz w:val="22"/>
          <w:lang w:eastAsia="zh-CN"/>
        </w:rPr>
        <w:t>we</w:t>
      </w:r>
      <w:r w:rsidR="00A55F7E" w:rsidRPr="00A55F7E">
        <w:rPr>
          <w:rFonts w:eastAsiaTheme="minorEastAsia" w:cs="Arial"/>
          <w:sz w:val="22"/>
          <w:lang w:eastAsia="zh-CN"/>
        </w:rPr>
        <w:t xml:space="preserve"> want to define the accuracy requirement, a reference value for comparison is needed.</w:t>
      </w:r>
      <w:r w:rsidR="00A55F7E">
        <w:rPr>
          <w:rFonts w:eastAsiaTheme="minorEastAsia" w:cs="Arial" w:hint="eastAsia"/>
          <w:sz w:val="22"/>
          <w:lang w:eastAsia="zh-CN"/>
        </w:rPr>
        <w:t xml:space="preserve"> However, the report content is based prediction and/or measurement, what shall we compare to is unclear if accuracy requirement was to be defined. Second, from the perspective of report content, according to RAN1 agreement, there are two SGCS values are </w:t>
      </w:r>
      <w:r w:rsidR="00A55F7E">
        <w:rPr>
          <w:rFonts w:eastAsiaTheme="minorEastAsia" w:cs="Arial"/>
          <w:sz w:val="22"/>
          <w:lang w:eastAsia="zh-CN"/>
        </w:rPr>
        <w:t>include</w:t>
      </w:r>
      <w:r w:rsidR="00A55F7E">
        <w:rPr>
          <w:rFonts w:eastAsiaTheme="minorEastAsia" w:cs="Arial" w:hint="eastAsia"/>
          <w:sz w:val="22"/>
          <w:lang w:eastAsia="zh-CN"/>
        </w:rPr>
        <w:t>,</w:t>
      </w:r>
    </w:p>
    <w:p w14:paraId="7AD3371A" w14:textId="77565FEB" w:rsidR="00A55F7E" w:rsidRPr="00A55F7E" w:rsidRDefault="00A55F7E" w:rsidP="00A55F7E">
      <w:pPr>
        <w:pStyle w:val="aff"/>
        <w:numPr>
          <w:ilvl w:val="0"/>
          <w:numId w:val="42"/>
        </w:numPr>
        <w:spacing w:line="360" w:lineRule="exact"/>
        <w:jc w:val="both"/>
        <w:rPr>
          <w:rFonts w:ascii="Arial" w:eastAsiaTheme="minorEastAsia" w:hAnsi="Arial" w:cs="Arial"/>
          <w:lang w:eastAsia="zh-CN"/>
        </w:rPr>
      </w:pPr>
      <w:r w:rsidRPr="00A55F7E">
        <w:rPr>
          <w:rFonts w:ascii="Arial" w:eastAsiaTheme="minorEastAsia" w:hAnsi="Arial" w:cs="Arial"/>
          <w:lang w:eastAsia="zh-CN"/>
        </w:rPr>
        <w:t>SGCS1 is calculated based on predicted CSI for one inference reporting, and ground truth CSI,</w:t>
      </w:r>
    </w:p>
    <w:p w14:paraId="09CA1D75" w14:textId="45413F5F" w:rsidR="00E15ABC" w:rsidRPr="00A55F7E" w:rsidRDefault="00A55F7E" w:rsidP="00A55F7E">
      <w:pPr>
        <w:pStyle w:val="aff"/>
        <w:numPr>
          <w:ilvl w:val="0"/>
          <w:numId w:val="42"/>
        </w:numPr>
        <w:spacing w:line="360" w:lineRule="exact"/>
        <w:jc w:val="both"/>
        <w:rPr>
          <w:rFonts w:ascii="Arial" w:eastAsiaTheme="minorEastAsia" w:hAnsi="Arial" w:cs="Arial"/>
          <w:lang w:val="en-US" w:eastAsia="zh-CN"/>
        </w:rPr>
      </w:pPr>
      <w:r w:rsidRPr="00A55F7E">
        <w:rPr>
          <w:rFonts w:ascii="Arial" w:eastAsiaTheme="minorEastAsia" w:hAnsi="Arial" w:cs="Arial"/>
          <w:lang w:eastAsia="zh-CN"/>
        </w:rPr>
        <w:t>SGCS2 is based on ground truth CSI and CSI (non-predicted) corresponding to the latest CSI-RS transmission occasion not later than CSI reference resource of the inference reporting instance</w:t>
      </w:r>
    </w:p>
    <w:p w14:paraId="3C31F609" w14:textId="46F237C6" w:rsidR="00A55F7E" w:rsidRDefault="00A55F7E" w:rsidP="00E15ABC">
      <w:pPr>
        <w:spacing w:after="0" w:line="360" w:lineRule="exact"/>
        <w:jc w:val="both"/>
        <w:rPr>
          <w:rFonts w:eastAsiaTheme="minorEastAsia" w:cs="Arial"/>
          <w:sz w:val="22"/>
          <w:lang w:eastAsia="zh-CN"/>
        </w:rPr>
      </w:pPr>
      <w:r>
        <w:rPr>
          <w:rFonts w:eastAsiaTheme="minorEastAsia" w:cs="Arial" w:hint="eastAsia"/>
          <w:sz w:val="22"/>
          <w:lang w:eastAsia="zh-CN"/>
        </w:rPr>
        <w:lastRenderedPageBreak/>
        <w:t xml:space="preserve">In our understanding, the first value could be covered by prediction accuracy requirement and the second could be covered by </w:t>
      </w:r>
      <w:r>
        <w:rPr>
          <w:rFonts w:eastAsiaTheme="minorEastAsia" w:cs="Arial"/>
          <w:sz w:val="22"/>
          <w:lang w:eastAsia="zh-CN"/>
        </w:rPr>
        <w:t>measurement</w:t>
      </w:r>
      <w:r>
        <w:rPr>
          <w:rFonts w:eastAsiaTheme="minorEastAsia" w:cs="Arial" w:hint="eastAsia"/>
          <w:sz w:val="22"/>
          <w:lang w:eastAsia="zh-CN"/>
        </w:rPr>
        <w:t xml:space="preserve"> accuracy requirement.</w:t>
      </w:r>
    </w:p>
    <w:p w14:paraId="437001C4" w14:textId="4A4705B5" w:rsidR="00F73412" w:rsidRPr="00F73412" w:rsidRDefault="00F73412" w:rsidP="00E15ABC">
      <w:pPr>
        <w:spacing w:after="0" w:line="360" w:lineRule="exact"/>
        <w:jc w:val="both"/>
        <w:rPr>
          <w:rFonts w:eastAsiaTheme="minorEastAsia" w:cs="Arial"/>
          <w:b/>
          <w:bCs/>
          <w:i/>
          <w:iCs/>
          <w:sz w:val="22"/>
          <w:lang w:eastAsia="zh-CN"/>
        </w:rPr>
      </w:pPr>
      <w:r w:rsidRPr="00F73412">
        <w:rPr>
          <w:rFonts w:eastAsiaTheme="minorEastAsia" w:cs="Arial" w:hint="eastAsia"/>
          <w:b/>
          <w:bCs/>
          <w:i/>
          <w:iCs/>
          <w:sz w:val="22"/>
          <w:lang w:eastAsia="zh-CN"/>
        </w:rPr>
        <w:t xml:space="preserve">Observation 2: </w:t>
      </w:r>
      <w:r w:rsidRPr="00F73412">
        <w:rPr>
          <w:rFonts w:eastAsiaTheme="minorEastAsia" w:cs="Arial"/>
          <w:b/>
          <w:bCs/>
          <w:i/>
          <w:iCs/>
          <w:sz w:val="22"/>
          <w:lang w:eastAsia="zh-CN"/>
        </w:rPr>
        <w:t xml:space="preserve">The </w:t>
      </w:r>
      <w:r w:rsidRPr="00F73412">
        <w:rPr>
          <w:rFonts w:eastAsiaTheme="minorEastAsia" w:cs="Arial" w:hint="eastAsia"/>
          <w:b/>
          <w:bCs/>
          <w:i/>
          <w:iCs/>
          <w:sz w:val="22"/>
          <w:lang w:eastAsia="zh-CN"/>
        </w:rPr>
        <w:t xml:space="preserve">accuracy requirement of </w:t>
      </w:r>
      <w:r w:rsidRPr="00F73412">
        <w:rPr>
          <w:rFonts w:eastAsiaTheme="minorEastAsia" w:cs="Arial"/>
          <w:b/>
          <w:bCs/>
          <w:i/>
          <w:iCs/>
          <w:sz w:val="22"/>
          <w:lang w:eastAsia="zh-CN"/>
        </w:rPr>
        <w:t>monitoring report includ</w:t>
      </w:r>
      <w:r w:rsidRPr="00F73412">
        <w:rPr>
          <w:rFonts w:eastAsiaTheme="minorEastAsia" w:cs="Arial" w:hint="eastAsia"/>
          <w:b/>
          <w:bCs/>
          <w:i/>
          <w:iCs/>
          <w:sz w:val="22"/>
          <w:lang w:eastAsia="zh-CN"/>
        </w:rPr>
        <w:t>ing</w:t>
      </w:r>
      <w:r w:rsidRPr="00F73412">
        <w:rPr>
          <w:rFonts w:eastAsiaTheme="minorEastAsia" w:cs="Arial"/>
          <w:b/>
          <w:bCs/>
          <w:i/>
          <w:iCs/>
          <w:sz w:val="22"/>
          <w:lang w:eastAsia="zh-CN"/>
        </w:rPr>
        <w:t xml:space="preserve"> SGCS, </w:t>
      </w:r>
      <w:r w:rsidRPr="00F73412">
        <w:rPr>
          <w:rFonts w:eastAsiaTheme="minorEastAsia" w:cs="Arial" w:hint="eastAsia"/>
          <w:b/>
          <w:bCs/>
          <w:i/>
          <w:iCs/>
          <w:sz w:val="22"/>
          <w:lang w:eastAsia="zh-CN"/>
        </w:rPr>
        <w:t xml:space="preserve">could be </w:t>
      </w:r>
      <w:r w:rsidRPr="00F73412">
        <w:rPr>
          <w:rFonts w:eastAsiaTheme="minorEastAsia" w:cs="Arial"/>
          <w:b/>
          <w:bCs/>
          <w:i/>
          <w:iCs/>
          <w:sz w:val="22"/>
          <w:lang w:eastAsia="zh-CN"/>
        </w:rPr>
        <w:t xml:space="preserve">reflected </w:t>
      </w:r>
      <w:r w:rsidRPr="00F73412">
        <w:rPr>
          <w:rFonts w:eastAsiaTheme="minorEastAsia" w:cs="Arial" w:hint="eastAsia"/>
          <w:b/>
          <w:bCs/>
          <w:i/>
          <w:iCs/>
          <w:sz w:val="22"/>
          <w:lang w:eastAsia="zh-CN"/>
        </w:rPr>
        <w:t xml:space="preserve">by </w:t>
      </w:r>
      <w:r w:rsidRPr="00F73412">
        <w:rPr>
          <w:rFonts w:eastAsiaTheme="minorEastAsia" w:cs="Arial"/>
          <w:b/>
          <w:bCs/>
          <w:i/>
          <w:iCs/>
          <w:sz w:val="22"/>
          <w:lang w:eastAsia="zh-CN"/>
        </w:rPr>
        <w:t>measurement and prediction accuracy.</w:t>
      </w:r>
    </w:p>
    <w:p w14:paraId="598D3274" w14:textId="2112EF76" w:rsidR="00A55F7E" w:rsidRPr="00F73412" w:rsidRDefault="00F73412" w:rsidP="00E15ABC">
      <w:pPr>
        <w:spacing w:after="0" w:line="360" w:lineRule="exact"/>
        <w:jc w:val="both"/>
        <w:rPr>
          <w:rFonts w:eastAsiaTheme="minorEastAsia" w:cs="Arial"/>
          <w:b/>
          <w:bCs/>
          <w:sz w:val="22"/>
          <w:lang w:eastAsia="zh-CN"/>
        </w:rPr>
      </w:pPr>
      <w:r w:rsidRPr="00F73412">
        <w:rPr>
          <w:rFonts w:eastAsiaTheme="minorEastAsia" w:cs="Arial" w:hint="eastAsia"/>
          <w:b/>
          <w:bCs/>
          <w:sz w:val="22"/>
          <w:lang w:eastAsia="zh-CN"/>
        </w:rPr>
        <w:t xml:space="preserve">Proposal 2: </w:t>
      </w:r>
      <w:r>
        <w:rPr>
          <w:rFonts w:eastAsiaTheme="minorEastAsia" w:cs="Arial" w:hint="eastAsia"/>
          <w:b/>
          <w:bCs/>
          <w:sz w:val="22"/>
          <w:lang w:eastAsia="zh-CN"/>
        </w:rPr>
        <w:t>T</w:t>
      </w:r>
      <w:r w:rsidRPr="00F73412">
        <w:rPr>
          <w:rFonts w:eastAsiaTheme="minorEastAsia" w:cs="Arial" w:hint="eastAsia"/>
          <w:b/>
          <w:bCs/>
          <w:sz w:val="22"/>
          <w:lang w:eastAsia="zh-CN"/>
        </w:rPr>
        <w:t xml:space="preserve">he </w:t>
      </w:r>
      <w:r w:rsidRPr="00F73412">
        <w:rPr>
          <w:rFonts w:eastAsiaTheme="minorEastAsia" w:cs="Arial"/>
          <w:b/>
          <w:bCs/>
          <w:sz w:val="22"/>
          <w:lang w:eastAsia="zh-CN"/>
        </w:rPr>
        <w:t>definition</w:t>
      </w:r>
      <w:r w:rsidRPr="00F73412">
        <w:rPr>
          <w:rFonts w:eastAsiaTheme="minorEastAsia" w:cs="Arial" w:hint="eastAsia"/>
          <w:b/>
          <w:bCs/>
          <w:sz w:val="22"/>
          <w:lang w:eastAsia="zh-CN"/>
        </w:rPr>
        <w:t xml:space="preserve"> and necessity of defining accuracy requirement for </w:t>
      </w:r>
      <w:r w:rsidRPr="00F73412">
        <w:rPr>
          <w:rFonts w:eastAsiaTheme="minorEastAsia" w:cs="Arial"/>
          <w:b/>
          <w:bCs/>
          <w:sz w:val="22"/>
          <w:lang w:eastAsia="zh-CN"/>
        </w:rPr>
        <w:t>monitoring</w:t>
      </w:r>
      <w:r w:rsidRPr="00F73412">
        <w:rPr>
          <w:rFonts w:eastAsiaTheme="minorEastAsia" w:cs="Arial" w:hint="eastAsia"/>
          <w:b/>
          <w:bCs/>
          <w:sz w:val="22"/>
          <w:lang w:eastAsia="zh-CN"/>
        </w:rPr>
        <w:t xml:space="preserve"> report </w:t>
      </w:r>
      <w:r w:rsidRPr="00F73412">
        <w:rPr>
          <w:rFonts w:eastAsiaTheme="minorEastAsia" w:cs="Arial"/>
          <w:b/>
          <w:bCs/>
          <w:sz w:val="22"/>
          <w:lang w:eastAsia="zh-CN"/>
        </w:rPr>
        <w:t>requires</w:t>
      </w:r>
      <w:r w:rsidRPr="00F73412">
        <w:rPr>
          <w:rFonts w:eastAsiaTheme="minorEastAsia" w:cs="Arial" w:hint="eastAsia"/>
          <w:b/>
          <w:bCs/>
          <w:sz w:val="22"/>
          <w:lang w:eastAsia="zh-CN"/>
        </w:rPr>
        <w:t xml:space="preserve"> clarification.</w:t>
      </w:r>
    </w:p>
    <w:p w14:paraId="379A0569" w14:textId="7D42F4C1" w:rsidR="00FB0C79" w:rsidRDefault="00FB0C79" w:rsidP="00293F5D">
      <w:pPr>
        <w:spacing w:after="0" w:line="360" w:lineRule="exact"/>
        <w:jc w:val="both"/>
        <w:rPr>
          <w:rFonts w:eastAsiaTheme="minorEastAsia" w:cs="Arial"/>
          <w:sz w:val="22"/>
          <w:lang w:eastAsia="zh-CN"/>
        </w:rPr>
      </w:pPr>
    </w:p>
    <w:p w14:paraId="7B9D1FAA" w14:textId="2AC90685" w:rsidR="00F84757" w:rsidRPr="00F84757" w:rsidRDefault="00F84757" w:rsidP="00F84757">
      <w:pPr>
        <w:pStyle w:val="1"/>
      </w:pPr>
      <w:r w:rsidRPr="00F84757">
        <w:rPr>
          <w:rFonts w:hint="eastAsia"/>
        </w:rPr>
        <w:t>Conclusion</w:t>
      </w:r>
    </w:p>
    <w:p w14:paraId="182AC796" w14:textId="1DFB2D0E" w:rsidR="00F84757" w:rsidRPr="00F84757" w:rsidRDefault="00F84757" w:rsidP="00F84757">
      <w:pPr>
        <w:pStyle w:val="a9"/>
        <w:rPr>
          <w:rFonts w:eastAsiaTheme="minorEastAsia"/>
          <w:sz w:val="22"/>
          <w:szCs w:val="28"/>
        </w:rPr>
      </w:pPr>
      <w:r w:rsidRPr="00BB42D4">
        <w:rPr>
          <w:sz w:val="22"/>
          <w:szCs w:val="28"/>
        </w:rPr>
        <w:t xml:space="preserve">In this contribution, </w:t>
      </w:r>
      <w:r w:rsidR="000E0878" w:rsidRPr="007D5FAD">
        <w:rPr>
          <w:rFonts w:eastAsiaTheme="minorEastAsia" w:cs="Arial"/>
          <w:szCs w:val="20"/>
        </w:rPr>
        <w:t>Requirement for monitoring</w:t>
      </w:r>
      <w:r>
        <w:rPr>
          <w:rFonts w:eastAsiaTheme="minorEastAsia" w:hint="eastAsia"/>
          <w:sz w:val="22"/>
          <w:szCs w:val="28"/>
        </w:rPr>
        <w:t xml:space="preserve"> </w:t>
      </w:r>
      <w:r w:rsidR="000E0878">
        <w:rPr>
          <w:rFonts w:eastAsiaTheme="minorEastAsia" w:hint="eastAsia"/>
          <w:sz w:val="22"/>
          <w:szCs w:val="28"/>
        </w:rPr>
        <w:t xml:space="preserve">of CSI prediction </w:t>
      </w:r>
      <w:proofErr w:type="gramStart"/>
      <w:r>
        <w:rPr>
          <w:rFonts w:eastAsiaTheme="minorEastAsia" w:hint="eastAsia"/>
          <w:sz w:val="22"/>
          <w:szCs w:val="28"/>
        </w:rPr>
        <w:t>are</w:t>
      </w:r>
      <w:proofErr w:type="gramEnd"/>
      <w:r>
        <w:rPr>
          <w:rFonts w:eastAsiaTheme="minorEastAsia" w:hint="eastAsia"/>
          <w:sz w:val="22"/>
          <w:szCs w:val="28"/>
        </w:rPr>
        <w:t xml:space="preserve"> </w:t>
      </w:r>
      <w:r w:rsidRPr="00BB42D4">
        <w:rPr>
          <w:sz w:val="22"/>
          <w:szCs w:val="28"/>
        </w:rPr>
        <w:t>discussed with following proposal</w:t>
      </w:r>
      <w:r w:rsidR="000E0878">
        <w:rPr>
          <w:rFonts w:eastAsiaTheme="minorEastAsia" w:hint="eastAsia"/>
          <w:sz w:val="22"/>
          <w:szCs w:val="28"/>
        </w:rPr>
        <w:t xml:space="preserve">s </w:t>
      </w:r>
      <w:r w:rsidR="009F6563">
        <w:rPr>
          <w:rFonts w:eastAsiaTheme="minorEastAsia" w:hint="eastAsia"/>
          <w:sz w:val="22"/>
          <w:szCs w:val="28"/>
        </w:rPr>
        <w:t>and observation</w:t>
      </w:r>
      <w:r w:rsidR="000E0878">
        <w:rPr>
          <w:rFonts w:eastAsiaTheme="minorEastAsia" w:hint="eastAsia"/>
          <w:sz w:val="22"/>
          <w:szCs w:val="28"/>
        </w:rPr>
        <w:t>s</w:t>
      </w:r>
      <w:r w:rsidR="009F6563">
        <w:rPr>
          <w:rFonts w:eastAsiaTheme="minorEastAsia" w:hint="eastAsia"/>
          <w:sz w:val="22"/>
          <w:szCs w:val="28"/>
        </w:rPr>
        <w:t>.</w:t>
      </w:r>
    </w:p>
    <w:p w14:paraId="1968BF31" w14:textId="77777777" w:rsidR="000E0878" w:rsidRPr="00C64ABA" w:rsidRDefault="000E0878" w:rsidP="000E0878">
      <w:pPr>
        <w:spacing w:after="0" w:line="360" w:lineRule="exact"/>
        <w:jc w:val="both"/>
        <w:rPr>
          <w:rFonts w:eastAsiaTheme="minorEastAsia" w:cs="Arial"/>
          <w:b/>
          <w:bCs/>
          <w:i/>
          <w:iCs/>
          <w:sz w:val="22"/>
          <w:lang w:eastAsia="zh-CN"/>
        </w:rPr>
      </w:pPr>
      <w:r w:rsidRPr="00C64ABA">
        <w:rPr>
          <w:rFonts w:eastAsiaTheme="minorEastAsia" w:cs="Arial"/>
          <w:b/>
          <w:bCs/>
          <w:i/>
          <w:iCs/>
          <w:sz w:val="22"/>
          <w:lang w:eastAsia="zh-CN"/>
        </w:rPr>
        <w:t>Observation 1: To define the monitoring report delay, there are two possible alternatives,</w:t>
      </w:r>
    </w:p>
    <w:p w14:paraId="627B78EA" w14:textId="77777777" w:rsidR="000E0878" w:rsidRPr="00C64ABA" w:rsidRDefault="000E0878" w:rsidP="000E0878">
      <w:pPr>
        <w:pStyle w:val="aff"/>
        <w:numPr>
          <w:ilvl w:val="0"/>
          <w:numId w:val="37"/>
        </w:numPr>
        <w:spacing w:line="360" w:lineRule="exact"/>
        <w:jc w:val="both"/>
        <w:rPr>
          <w:rFonts w:ascii="Arial" w:eastAsiaTheme="minorEastAsia" w:hAnsi="Arial" w:cs="Arial"/>
          <w:b/>
          <w:bCs/>
          <w:i/>
          <w:iCs/>
          <w:lang w:eastAsia="zh-CN"/>
        </w:rPr>
      </w:pPr>
      <w:r w:rsidRPr="00C64ABA">
        <w:rPr>
          <w:rFonts w:ascii="Arial" w:eastAsiaTheme="minorEastAsia" w:hAnsi="Arial" w:cs="Arial"/>
          <w:b/>
          <w:bCs/>
          <w:i/>
          <w:iCs/>
          <w:lang w:eastAsia="zh-CN"/>
        </w:rPr>
        <w:t>Alt 1: take the reception of triggering command as the stating point, and the transmission of first monitoring report as the ending point.</w:t>
      </w:r>
    </w:p>
    <w:p w14:paraId="35DA991A" w14:textId="77777777" w:rsidR="000E0878" w:rsidRPr="00C64ABA" w:rsidRDefault="000E0878" w:rsidP="000E0878">
      <w:pPr>
        <w:pStyle w:val="aff"/>
        <w:numPr>
          <w:ilvl w:val="0"/>
          <w:numId w:val="37"/>
        </w:numPr>
        <w:spacing w:line="360" w:lineRule="exact"/>
        <w:jc w:val="both"/>
        <w:rPr>
          <w:rFonts w:ascii="Arial" w:eastAsiaTheme="minorEastAsia" w:hAnsi="Arial" w:cs="Arial"/>
          <w:b/>
          <w:bCs/>
          <w:i/>
          <w:iCs/>
          <w:lang w:eastAsia="zh-CN"/>
        </w:rPr>
      </w:pPr>
      <w:r w:rsidRPr="00C64ABA">
        <w:rPr>
          <w:rFonts w:ascii="Arial" w:eastAsiaTheme="minorEastAsia" w:hAnsi="Arial" w:cs="Arial"/>
          <w:b/>
          <w:bCs/>
          <w:i/>
          <w:iCs/>
          <w:lang w:eastAsia="zh-CN"/>
        </w:rPr>
        <w:t>Alt 2: take the last RS occasion associated with corresponding monitoring report as the start point and the transmission of first monitoring report as the ending point.</w:t>
      </w:r>
    </w:p>
    <w:p w14:paraId="1E304A19" w14:textId="77777777" w:rsidR="000E0878" w:rsidRDefault="000E0878" w:rsidP="000E0878">
      <w:pPr>
        <w:spacing w:after="0" w:line="360" w:lineRule="exact"/>
        <w:jc w:val="both"/>
        <w:rPr>
          <w:rFonts w:eastAsiaTheme="minorEastAsia" w:cs="Arial"/>
          <w:b/>
          <w:bCs/>
          <w:sz w:val="22"/>
          <w:lang w:eastAsia="zh-CN"/>
        </w:rPr>
      </w:pPr>
      <w:r w:rsidRPr="00C64ABA">
        <w:rPr>
          <w:rFonts w:eastAsiaTheme="minorEastAsia" w:cs="Arial" w:hint="eastAsia"/>
          <w:b/>
          <w:bCs/>
          <w:sz w:val="22"/>
          <w:lang w:eastAsia="zh-CN"/>
        </w:rPr>
        <w:t xml:space="preserve">Proposal 1: </w:t>
      </w:r>
      <w:r>
        <w:rPr>
          <w:rFonts w:eastAsiaTheme="minorEastAsia" w:cs="Arial" w:hint="eastAsia"/>
          <w:b/>
          <w:bCs/>
          <w:sz w:val="22"/>
          <w:lang w:eastAsia="zh-CN"/>
        </w:rPr>
        <w:t>S</w:t>
      </w:r>
      <w:r w:rsidRPr="00C64ABA">
        <w:rPr>
          <w:rFonts w:eastAsiaTheme="minorEastAsia" w:cs="Arial" w:hint="eastAsia"/>
          <w:b/>
          <w:bCs/>
          <w:sz w:val="22"/>
          <w:lang w:eastAsia="zh-CN"/>
        </w:rPr>
        <w:t>uggest to discuss whether to consider monitoring measurement delay when defining monitoring report delay.</w:t>
      </w:r>
    </w:p>
    <w:p w14:paraId="68A62832" w14:textId="77777777" w:rsidR="00E82466" w:rsidRDefault="00E82466" w:rsidP="00B62BB8">
      <w:pPr>
        <w:pStyle w:val="a9"/>
        <w:spacing w:after="0" w:line="288" w:lineRule="auto"/>
        <w:rPr>
          <w:rFonts w:eastAsiaTheme="minorEastAsia"/>
          <w:b/>
          <w:bCs/>
          <w:sz w:val="22"/>
          <w:szCs w:val="28"/>
        </w:rPr>
      </w:pPr>
    </w:p>
    <w:p w14:paraId="158125AA" w14:textId="77777777" w:rsidR="000E0878" w:rsidRPr="00F73412" w:rsidRDefault="000E0878" w:rsidP="000E0878">
      <w:pPr>
        <w:spacing w:after="0" w:line="360" w:lineRule="exact"/>
        <w:jc w:val="both"/>
        <w:rPr>
          <w:rFonts w:eastAsiaTheme="minorEastAsia" w:cs="Arial"/>
          <w:b/>
          <w:bCs/>
          <w:i/>
          <w:iCs/>
          <w:sz w:val="22"/>
          <w:lang w:eastAsia="zh-CN"/>
        </w:rPr>
      </w:pPr>
      <w:r w:rsidRPr="00F73412">
        <w:rPr>
          <w:rFonts w:eastAsiaTheme="minorEastAsia" w:cs="Arial" w:hint="eastAsia"/>
          <w:b/>
          <w:bCs/>
          <w:i/>
          <w:iCs/>
          <w:sz w:val="22"/>
          <w:lang w:eastAsia="zh-CN"/>
        </w:rPr>
        <w:t xml:space="preserve">Observation 2: </w:t>
      </w:r>
      <w:r w:rsidRPr="00F73412">
        <w:rPr>
          <w:rFonts w:eastAsiaTheme="minorEastAsia" w:cs="Arial"/>
          <w:b/>
          <w:bCs/>
          <w:i/>
          <w:iCs/>
          <w:sz w:val="22"/>
          <w:lang w:eastAsia="zh-CN"/>
        </w:rPr>
        <w:t xml:space="preserve">The </w:t>
      </w:r>
      <w:r w:rsidRPr="00F73412">
        <w:rPr>
          <w:rFonts w:eastAsiaTheme="minorEastAsia" w:cs="Arial" w:hint="eastAsia"/>
          <w:b/>
          <w:bCs/>
          <w:i/>
          <w:iCs/>
          <w:sz w:val="22"/>
          <w:lang w:eastAsia="zh-CN"/>
        </w:rPr>
        <w:t xml:space="preserve">accuracy requirement of </w:t>
      </w:r>
      <w:r w:rsidRPr="00F73412">
        <w:rPr>
          <w:rFonts w:eastAsiaTheme="minorEastAsia" w:cs="Arial"/>
          <w:b/>
          <w:bCs/>
          <w:i/>
          <w:iCs/>
          <w:sz w:val="22"/>
          <w:lang w:eastAsia="zh-CN"/>
        </w:rPr>
        <w:t>monitoring report includ</w:t>
      </w:r>
      <w:r w:rsidRPr="00F73412">
        <w:rPr>
          <w:rFonts w:eastAsiaTheme="minorEastAsia" w:cs="Arial" w:hint="eastAsia"/>
          <w:b/>
          <w:bCs/>
          <w:i/>
          <w:iCs/>
          <w:sz w:val="22"/>
          <w:lang w:eastAsia="zh-CN"/>
        </w:rPr>
        <w:t>ing</w:t>
      </w:r>
      <w:r w:rsidRPr="00F73412">
        <w:rPr>
          <w:rFonts w:eastAsiaTheme="minorEastAsia" w:cs="Arial"/>
          <w:b/>
          <w:bCs/>
          <w:i/>
          <w:iCs/>
          <w:sz w:val="22"/>
          <w:lang w:eastAsia="zh-CN"/>
        </w:rPr>
        <w:t xml:space="preserve"> SGCS, </w:t>
      </w:r>
      <w:r w:rsidRPr="00F73412">
        <w:rPr>
          <w:rFonts w:eastAsiaTheme="minorEastAsia" w:cs="Arial" w:hint="eastAsia"/>
          <w:b/>
          <w:bCs/>
          <w:i/>
          <w:iCs/>
          <w:sz w:val="22"/>
          <w:lang w:eastAsia="zh-CN"/>
        </w:rPr>
        <w:t xml:space="preserve">could be </w:t>
      </w:r>
      <w:r w:rsidRPr="00F73412">
        <w:rPr>
          <w:rFonts w:eastAsiaTheme="minorEastAsia" w:cs="Arial"/>
          <w:b/>
          <w:bCs/>
          <w:i/>
          <w:iCs/>
          <w:sz w:val="22"/>
          <w:lang w:eastAsia="zh-CN"/>
        </w:rPr>
        <w:t xml:space="preserve">reflected </w:t>
      </w:r>
      <w:r w:rsidRPr="00F73412">
        <w:rPr>
          <w:rFonts w:eastAsiaTheme="minorEastAsia" w:cs="Arial" w:hint="eastAsia"/>
          <w:b/>
          <w:bCs/>
          <w:i/>
          <w:iCs/>
          <w:sz w:val="22"/>
          <w:lang w:eastAsia="zh-CN"/>
        </w:rPr>
        <w:t xml:space="preserve">by </w:t>
      </w:r>
      <w:r w:rsidRPr="00F73412">
        <w:rPr>
          <w:rFonts w:eastAsiaTheme="minorEastAsia" w:cs="Arial"/>
          <w:b/>
          <w:bCs/>
          <w:i/>
          <w:iCs/>
          <w:sz w:val="22"/>
          <w:lang w:eastAsia="zh-CN"/>
        </w:rPr>
        <w:t>measurement and prediction accuracy.</w:t>
      </w:r>
    </w:p>
    <w:p w14:paraId="168EA4E8" w14:textId="77777777" w:rsidR="000E0878" w:rsidRPr="00F73412" w:rsidRDefault="000E0878" w:rsidP="000E0878">
      <w:pPr>
        <w:spacing w:after="0" w:line="360" w:lineRule="exact"/>
        <w:jc w:val="both"/>
        <w:rPr>
          <w:rFonts w:eastAsiaTheme="minorEastAsia" w:cs="Arial"/>
          <w:b/>
          <w:bCs/>
          <w:sz w:val="22"/>
          <w:lang w:eastAsia="zh-CN"/>
        </w:rPr>
      </w:pPr>
      <w:r w:rsidRPr="00F73412">
        <w:rPr>
          <w:rFonts w:eastAsiaTheme="minorEastAsia" w:cs="Arial" w:hint="eastAsia"/>
          <w:b/>
          <w:bCs/>
          <w:sz w:val="22"/>
          <w:lang w:eastAsia="zh-CN"/>
        </w:rPr>
        <w:t xml:space="preserve">Proposal 2: </w:t>
      </w:r>
      <w:r>
        <w:rPr>
          <w:rFonts w:eastAsiaTheme="minorEastAsia" w:cs="Arial" w:hint="eastAsia"/>
          <w:b/>
          <w:bCs/>
          <w:sz w:val="22"/>
          <w:lang w:eastAsia="zh-CN"/>
        </w:rPr>
        <w:t>T</w:t>
      </w:r>
      <w:r w:rsidRPr="00F73412">
        <w:rPr>
          <w:rFonts w:eastAsiaTheme="minorEastAsia" w:cs="Arial" w:hint="eastAsia"/>
          <w:b/>
          <w:bCs/>
          <w:sz w:val="22"/>
          <w:lang w:eastAsia="zh-CN"/>
        </w:rPr>
        <w:t xml:space="preserve">he </w:t>
      </w:r>
      <w:r w:rsidRPr="00F73412">
        <w:rPr>
          <w:rFonts w:eastAsiaTheme="minorEastAsia" w:cs="Arial"/>
          <w:b/>
          <w:bCs/>
          <w:sz w:val="22"/>
          <w:lang w:eastAsia="zh-CN"/>
        </w:rPr>
        <w:t>definition</w:t>
      </w:r>
      <w:r w:rsidRPr="00F73412">
        <w:rPr>
          <w:rFonts w:eastAsiaTheme="minorEastAsia" w:cs="Arial" w:hint="eastAsia"/>
          <w:b/>
          <w:bCs/>
          <w:sz w:val="22"/>
          <w:lang w:eastAsia="zh-CN"/>
        </w:rPr>
        <w:t xml:space="preserve"> and necessity of defining accuracy requirement for </w:t>
      </w:r>
      <w:r w:rsidRPr="00F73412">
        <w:rPr>
          <w:rFonts w:eastAsiaTheme="minorEastAsia" w:cs="Arial"/>
          <w:b/>
          <w:bCs/>
          <w:sz w:val="22"/>
          <w:lang w:eastAsia="zh-CN"/>
        </w:rPr>
        <w:t>monitoring</w:t>
      </w:r>
      <w:r w:rsidRPr="00F73412">
        <w:rPr>
          <w:rFonts w:eastAsiaTheme="minorEastAsia" w:cs="Arial" w:hint="eastAsia"/>
          <w:b/>
          <w:bCs/>
          <w:sz w:val="22"/>
          <w:lang w:eastAsia="zh-CN"/>
        </w:rPr>
        <w:t xml:space="preserve"> report </w:t>
      </w:r>
      <w:r w:rsidRPr="00F73412">
        <w:rPr>
          <w:rFonts w:eastAsiaTheme="minorEastAsia" w:cs="Arial"/>
          <w:b/>
          <w:bCs/>
          <w:sz w:val="22"/>
          <w:lang w:eastAsia="zh-CN"/>
        </w:rPr>
        <w:t>requires</w:t>
      </w:r>
      <w:r w:rsidRPr="00F73412">
        <w:rPr>
          <w:rFonts w:eastAsiaTheme="minorEastAsia" w:cs="Arial" w:hint="eastAsia"/>
          <w:b/>
          <w:bCs/>
          <w:sz w:val="22"/>
          <w:lang w:eastAsia="zh-CN"/>
        </w:rPr>
        <w:t xml:space="preserve"> clarification.</w:t>
      </w:r>
    </w:p>
    <w:p w14:paraId="02C332D1" w14:textId="77777777" w:rsidR="000E0878" w:rsidRPr="000E0878" w:rsidRDefault="000E0878" w:rsidP="00B62BB8">
      <w:pPr>
        <w:pStyle w:val="a9"/>
        <w:spacing w:after="0" w:line="288" w:lineRule="auto"/>
        <w:rPr>
          <w:rFonts w:eastAsiaTheme="minorEastAsia"/>
          <w:b/>
          <w:bCs/>
          <w:sz w:val="22"/>
          <w:szCs w:val="28"/>
        </w:rPr>
      </w:pPr>
    </w:p>
    <w:sectPr w:rsidR="000E0878" w:rsidRPr="000E0878" w:rsidSect="004E1B57">
      <w:headerReference w:type="even" r:id="rId11"/>
      <w:footerReference w:type="default" r:id="rId12"/>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198B4" w14:textId="77777777" w:rsidR="00AD737D" w:rsidRDefault="00AD737D">
      <w:r>
        <w:separator/>
      </w:r>
    </w:p>
  </w:endnote>
  <w:endnote w:type="continuationSeparator" w:id="0">
    <w:p w14:paraId="4CCE4BCD" w14:textId="77777777" w:rsidR="00AD737D" w:rsidRDefault="00AD737D">
      <w:r>
        <w:continuationSeparator/>
      </w:r>
    </w:p>
  </w:endnote>
  <w:endnote w:type="continuationNotice" w:id="1">
    <w:p w14:paraId="7FDFD387" w14:textId="77777777" w:rsidR="00AD737D" w:rsidRDefault="00AD73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8BA13" w14:textId="77777777" w:rsidR="00AD737D" w:rsidRDefault="00AD737D">
      <w:r>
        <w:separator/>
      </w:r>
    </w:p>
  </w:footnote>
  <w:footnote w:type="continuationSeparator" w:id="0">
    <w:p w14:paraId="7C6CE5DD" w14:textId="77777777" w:rsidR="00AD737D" w:rsidRDefault="00AD737D">
      <w:r>
        <w:continuationSeparator/>
      </w:r>
    </w:p>
  </w:footnote>
  <w:footnote w:type="continuationNotice" w:id="1">
    <w:p w14:paraId="413C2A51" w14:textId="77777777" w:rsidR="00AD737D" w:rsidRDefault="00AD73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E32DF9"/>
    <w:multiLevelType w:val="hybridMultilevel"/>
    <w:tmpl w:val="C3063B5E"/>
    <w:lvl w:ilvl="0" w:tplc="D62CEBDA">
      <w:start w:val="1"/>
      <w:numFmt w:val="bullet"/>
      <w:lvlText w:val=""/>
      <w:lvlJc w:val="left"/>
      <w:pPr>
        <w:tabs>
          <w:tab w:val="num" w:pos="720"/>
        </w:tabs>
        <w:ind w:left="720" w:hanging="360"/>
      </w:pPr>
      <w:rPr>
        <w:rFonts w:ascii="Symbol" w:hAnsi="Symbol" w:hint="default"/>
      </w:rPr>
    </w:lvl>
    <w:lvl w:ilvl="1" w:tplc="A44EBCA0" w:tentative="1">
      <w:start w:val="1"/>
      <w:numFmt w:val="bullet"/>
      <w:lvlText w:val=""/>
      <w:lvlJc w:val="left"/>
      <w:pPr>
        <w:tabs>
          <w:tab w:val="num" w:pos="1440"/>
        </w:tabs>
        <w:ind w:left="1440" w:hanging="360"/>
      </w:pPr>
      <w:rPr>
        <w:rFonts w:ascii="Symbol" w:hAnsi="Symbol" w:hint="default"/>
      </w:rPr>
    </w:lvl>
    <w:lvl w:ilvl="2" w:tplc="C1E4D72C" w:tentative="1">
      <w:start w:val="1"/>
      <w:numFmt w:val="bullet"/>
      <w:lvlText w:val=""/>
      <w:lvlJc w:val="left"/>
      <w:pPr>
        <w:tabs>
          <w:tab w:val="num" w:pos="2160"/>
        </w:tabs>
        <w:ind w:left="2160" w:hanging="360"/>
      </w:pPr>
      <w:rPr>
        <w:rFonts w:ascii="Symbol" w:hAnsi="Symbol" w:hint="default"/>
      </w:rPr>
    </w:lvl>
    <w:lvl w:ilvl="3" w:tplc="4B48812E" w:tentative="1">
      <w:start w:val="1"/>
      <w:numFmt w:val="bullet"/>
      <w:lvlText w:val=""/>
      <w:lvlJc w:val="left"/>
      <w:pPr>
        <w:tabs>
          <w:tab w:val="num" w:pos="2880"/>
        </w:tabs>
        <w:ind w:left="2880" w:hanging="360"/>
      </w:pPr>
      <w:rPr>
        <w:rFonts w:ascii="Symbol" w:hAnsi="Symbol" w:hint="default"/>
      </w:rPr>
    </w:lvl>
    <w:lvl w:ilvl="4" w:tplc="556EBDE4" w:tentative="1">
      <w:start w:val="1"/>
      <w:numFmt w:val="bullet"/>
      <w:lvlText w:val=""/>
      <w:lvlJc w:val="left"/>
      <w:pPr>
        <w:tabs>
          <w:tab w:val="num" w:pos="3600"/>
        </w:tabs>
        <w:ind w:left="3600" w:hanging="360"/>
      </w:pPr>
      <w:rPr>
        <w:rFonts w:ascii="Symbol" w:hAnsi="Symbol" w:hint="default"/>
      </w:rPr>
    </w:lvl>
    <w:lvl w:ilvl="5" w:tplc="8A3C81A4" w:tentative="1">
      <w:start w:val="1"/>
      <w:numFmt w:val="bullet"/>
      <w:lvlText w:val=""/>
      <w:lvlJc w:val="left"/>
      <w:pPr>
        <w:tabs>
          <w:tab w:val="num" w:pos="4320"/>
        </w:tabs>
        <w:ind w:left="4320" w:hanging="360"/>
      </w:pPr>
      <w:rPr>
        <w:rFonts w:ascii="Symbol" w:hAnsi="Symbol" w:hint="default"/>
      </w:rPr>
    </w:lvl>
    <w:lvl w:ilvl="6" w:tplc="F210FE4A" w:tentative="1">
      <w:start w:val="1"/>
      <w:numFmt w:val="bullet"/>
      <w:lvlText w:val=""/>
      <w:lvlJc w:val="left"/>
      <w:pPr>
        <w:tabs>
          <w:tab w:val="num" w:pos="5040"/>
        </w:tabs>
        <w:ind w:left="5040" w:hanging="360"/>
      </w:pPr>
      <w:rPr>
        <w:rFonts w:ascii="Symbol" w:hAnsi="Symbol" w:hint="default"/>
      </w:rPr>
    </w:lvl>
    <w:lvl w:ilvl="7" w:tplc="24D4315E" w:tentative="1">
      <w:start w:val="1"/>
      <w:numFmt w:val="bullet"/>
      <w:lvlText w:val=""/>
      <w:lvlJc w:val="left"/>
      <w:pPr>
        <w:tabs>
          <w:tab w:val="num" w:pos="5760"/>
        </w:tabs>
        <w:ind w:left="5760" w:hanging="360"/>
      </w:pPr>
      <w:rPr>
        <w:rFonts w:ascii="Symbol" w:hAnsi="Symbol" w:hint="default"/>
      </w:rPr>
    </w:lvl>
    <w:lvl w:ilvl="8" w:tplc="4FE0BD4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1AF13826"/>
    <w:multiLevelType w:val="hybridMultilevel"/>
    <w:tmpl w:val="8C4CC710"/>
    <w:lvl w:ilvl="0" w:tplc="FFFFFFFF">
      <w:start w:val="1"/>
      <w:numFmt w:val="bullet"/>
      <w:lvlText w:val="•"/>
      <w:lvlJc w:val="left"/>
      <w:pPr>
        <w:tabs>
          <w:tab w:val="num" w:pos="720"/>
        </w:tabs>
        <w:ind w:left="720" w:hanging="360"/>
      </w:pPr>
      <w:rPr>
        <w:rFonts w:ascii="Arial" w:hAnsi="Arial" w:hint="default"/>
      </w:rPr>
    </w:lvl>
    <w:lvl w:ilvl="1" w:tplc="C10C85AC">
      <w:start w:val="1"/>
      <w:numFmt w:val="bullet"/>
      <w:lvlText w:val="-"/>
      <w:lvlJc w:val="left"/>
      <w:pPr>
        <w:ind w:left="1520" w:hanging="440"/>
      </w:pPr>
      <w:rPr>
        <w:rFonts w:ascii="等线" w:eastAsia="等线" w:hAnsi="等线" w:hint="eastAsia"/>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082547"/>
    <w:multiLevelType w:val="hybridMultilevel"/>
    <w:tmpl w:val="BF2221B2"/>
    <w:lvl w:ilvl="0" w:tplc="323452E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E5567D"/>
    <w:multiLevelType w:val="hybridMultilevel"/>
    <w:tmpl w:val="5D4EE0E8"/>
    <w:lvl w:ilvl="0" w:tplc="C9B83F8E">
      <w:start w:val="1"/>
      <w:numFmt w:val="bullet"/>
      <w:lvlText w:val=""/>
      <w:lvlJc w:val="left"/>
      <w:pPr>
        <w:tabs>
          <w:tab w:val="num" w:pos="720"/>
        </w:tabs>
        <w:ind w:left="720" w:hanging="360"/>
      </w:pPr>
      <w:rPr>
        <w:rFonts w:ascii="Symbol" w:hAnsi="Symbol" w:hint="default"/>
      </w:rPr>
    </w:lvl>
    <w:lvl w:ilvl="1" w:tplc="7F3C7D64">
      <w:numFmt w:val="bullet"/>
      <w:lvlText w:val="o"/>
      <w:lvlJc w:val="left"/>
      <w:pPr>
        <w:tabs>
          <w:tab w:val="num" w:pos="1440"/>
        </w:tabs>
        <w:ind w:left="1440" w:hanging="360"/>
      </w:pPr>
      <w:rPr>
        <w:rFonts w:ascii="Courier New" w:hAnsi="Courier New" w:hint="default"/>
      </w:rPr>
    </w:lvl>
    <w:lvl w:ilvl="2" w:tplc="D37248BA" w:tentative="1">
      <w:start w:val="1"/>
      <w:numFmt w:val="bullet"/>
      <w:lvlText w:val=""/>
      <w:lvlJc w:val="left"/>
      <w:pPr>
        <w:tabs>
          <w:tab w:val="num" w:pos="2160"/>
        </w:tabs>
        <w:ind w:left="2160" w:hanging="360"/>
      </w:pPr>
      <w:rPr>
        <w:rFonts w:ascii="Symbol" w:hAnsi="Symbol" w:hint="default"/>
      </w:rPr>
    </w:lvl>
    <w:lvl w:ilvl="3" w:tplc="7076C3EA" w:tentative="1">
      <w:start w:val="1"/>
      <w:numFmt w:val="bullet"/>
      <w:lvlText w:val=""/>
      <w:lvlJc w:val="left"/>
      <w:pPr>
        <w:tabs>
          <w:tab w:val="num" w:pos="2880"/>
        </w:tabs>
        <w:ind w:left="2880" w:hanging="360"/>
      </w:pPr>
      <w:rPr>
        <w:rFonts w:ascii="Symbol" w:hAnsi="Symbol" w:hint="default"/>
      </w:rPr>
    </w:lvl>
    <w:lvl w:ilvl="4" w:tplc="69C4EC8C" w:tentative="1">
      <w:start w:val="1"/>
      <w:numFmt w:val="bullet"/>
      <w:lvlText w:val=""/>
      <w:lvlJc w:val="left"/>
      <w:pPr>
        <w:tabs>
          <w:tab w:val="num" w:pos="3600"/>
        </w:tabs>
        <w:ind w:left="3600" w:hanging="360"/>
      </w:pPr>
      <w:rPr>
        <w:rFonts w:ascii="Symbol" w:hAnsi="Symbol" w:hint="default"/>
      </w:rPr>
    </w:lvl>
    <w:lvl w:ilvl="5" w:tplc="78802A7A" w:tentative="1">
      <w:start w:val="1"/>
      <w:numFmt w:val="bullet"/>
      <w:lvlText w:val=""/>
      <w:lvlJc w:val="left"/>
      <w:pPr>
        <w:tabs>
          <w:tab w:val="num" w:pos="4320"/>
        </w:tabs>
        <w:ind w:left="4320" w:hanging="360"/>
      </w:pPr>
      <w:rPr>
        <w:rFonts w:ascii="Symbol" w:hAnsi="Symbol" w:hint="default"/>
      </w:rPr>
    </w:lvl>
    <w:lvl w:ilvl="6" w:tplc="D012FC4C" w:tentative="1">
      <w:start w:val="1"/>
      <w:numFmt w:val="bullet"/>
      <w:lvlText w:val=""/>
      <w:lvlJc w:val="left"/>
      <w:pPr>
        <w:tabs>
          <w:tab w:val="num" w:pos="5040"/>
        </w:tabs>
        <w:ind w:left="5040" w:hanging="360"/>
      </w:pPr>
      <w:rPr>
        <w:rFonts w:ascii="Symbol" w:hAnsi="Symbol" w:hint="default"/>
      </w:rPr>
    </w:lvl>
    <w:lvl w:ilvl="7" w:tplc="A106153C" w:tentative="1">
      <w:start w:val="1"/>
      <w:numFmt w:val="bullet"/>
      <w:lvlText w:val=""/>
      <w:lvlJc w:val="left"/>
      <w:pPr>
        <w:tabs>
          <w:tab w:val="num" w:pos="5760"/>
        </w:tabs>
        <w:ind w:left="5760" w:hanging="360"/>
      </w:pPr>
      <w:rPr>
        <w:rFonts w:ascii="Symbol" w:hAnsi="Symbol" w:hint="default"/>
      </w:rPr>
    </w:lvl>
    <w:lvl w:ilvl="8" w:tplc="021C6B7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412B17"/>
    <w:multiLevelType w:val="hybridMultilevel"/>
    <w:tmpl w:val="91501C1E"/>
    <w:lvl w:ilvl="0" w:tplc="19D8F9D0">
      <w:start w:val="1"/>
      <w:numFmt w:val="bullet"/>
      <w:lvlText w:val="•"/>
      <w:lvlJc w:val="left"/>
      <w:pPr>
        <w:tabs>
          <w:tab w:val="num" w:pos="720"/>
        </w:tabs>
        <w:ind w:left="720" w:hanging="360"/>
      </w:pPr>
      <w:rPr>
        <w:rFonts w:ascii="Arial" w:hAnsi="Arial" w:hint="default"/>
      </w:rPr>
    </w:lvl>
    <w:lvl w:ilvl="1" w:tplc="2A58E418" w:tentative="1">
      <w:start w:val="1"/>
      <w:numFmt w:val="bullet"/>
      <w:lvlText w:val="•"/>
      <w:lvlJc w:val="left"/>
      <w:pPr>
        <w:tabs>
          <w:tab w:val="num" w:pos="1440"/>
        </w:tabs>
        <w:ind w:left="1440" w:hanging="360"/>
      </w:pPr>
      <w:rPr>
        <w:rFonts w:ascii="Arial" w:hAnsi="Arial" w:hint="default"/>
      </w:rPr>
    </w:lvl>
    <w:lvl w:ilvl="2" w:tplc="16064FEC" w:tentative="1">
      <w:start w:val="1"/>
      <w:numFmt w:val="bullet"/>
      <w:lvlText w:val="•"/>
      <w:lvlJc w:val="left"/>
      <w:pPr>
        <w:tabs>
          <w:tab w:val="num" w:pos="2160"/>
        </w:tabs>
        <w:ind w:left="2160" w:hanging="360"/>
      </w:pPr>
      <w:rPr>
        <w:rFonts w:ascii="Arial" w:hAnsi="Arial" w:hint="default"/>
      </w:rPr>
    </w:lvl>
    <w:lvl w:ilvl="3" w:tplc="93EA09CA" w:tentative="1">
      <w:start w:val="1"/>
      <w:numFmt w:val="bullet"/>
      <w:lvlText w:val="•"/>
      <w:lvlJc w:val="left"/>
      <w:pPr>
        <w:tabs>
          <w:tab w:val="num" w:pos="2880"/>
        </w:tabs>
        <w:ind w:left="2880" w:hanging="360"/>
      </w:pPr>
      <w:rPr>
        <w:rFonts w:ascii="Arial" w:hAnsi="Arial" w:hint="default"/>
      </w:rPr>
    </w:lvl>
    <w:lvl w:ilvl="4" w:tplc="E746E644" w:tentative="1">
      <w:start w:val="1"/>
      <w:numFmt w:val="bullet"/>
      <w:lvlText w:val="•"/>
      <w:lvlJc w:val="left"/>
      <w:pPr>
        <w:tabs>
          <w:tab w:val="num" w:pos="3600"/>
        </w:tabs>
        <w:ind w:left="3600" w:hanging="360"/>
      </w:pPr>
      <w:rPr>
        <w:rFonts w:ascii="Arial" w:hAnsi="Arial" w:hint="default"/>
      </w:rPr>
    </w:lvl>
    <w:lvl w:ilvl="5" w:tplc="7F7400AE" w:tentative="1">
      <w:start w:val="1"/>
      <w:numFmt w:val="bullet"/>
      <w:lvlText w:val="•"/>
      <w:lvlJc w:val="left"/>
      <w:pPr>
        <w:tabs>
          <w:tab w:val="num" w:pos="4320"/>
        </w:tabs>
        <w:ind w:left="4320" w:hanging="360"/>
      </w:pPr>
      <w:rPr>
        <w:rFonts w:ascii="Arial" w:hAnsi="Arial" w:hint="default"/>
      </w:rPr>
    </w:lvl>
    <w:lvl w:ilvl="6" w:tplc="879E4030" w:tentative="1">
      <w:start w:val="1"/>
      <w:numFmt w:val="bullet"/>
      <w:lvlText w:val="•"/>
      <w:lvlJc w:val="left"/>
      <w:pPr>
        <w:tabs>
          <w:tab w:val="num" w:pos="5040"/>
        </w:tabs>
        <w:ind w:left="5040" w:hanging="360"/>
      </w:pPr>
      <w:rPr>
        <w:rFonts w:ascii="Arial" w:hAnsi="Arial" w:hint="default"/>
      </w:rPr>
    </w:lvl>
    <w:lvl w:ilvl="7" w:tplc="FAF8819C" w:tentative="1">
      <w:start w:val="1"/>
      <w:numFmt w:val="bullet"/>
      <w:lvlText w:val="•"/>
      <w:lvlJc w:val="left"/>
      <w:pPr>
        <w:tabs>
          <w:tab w:val="num" w:pos="5760"/>
        </w:tabs>
        <w:ind w:left="5760" w:hanging="360"/>
      </w:pPr>
      <w:rPr>
        <w:rFonts w:ascii="Arial" w:hAnsi="Arial" w:hint="default"/>
      </w:rPr>
    </w:lvl>
    <w:lvl w:ilvl="8" w:tplc="B0F08F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FF1635"/>
    <w:multiLevelType w:val="hybridMultilevel"/>
    <w:tmpl w:val="6BAAEF80"/>
    <w:lvl w:ilvl="0" w:tplc="C1881068">
      <w:start w:val="1"/>
      <w:numFmt w:val="bullet"/>
      <w:lvlText w:val=""/>
      <w:lvlJc w:val="left"/>
      <w:pPr>
        <w:tabs>
          <w:tab w:val="num" w:pos="720"/>
        </w:tabs>
        <w:ind w:left="720" w:hanging="360"/>
      </w:pPr>
      <w:rPr>
        <w:rFonts w:ascii="Symbol" w:hAnsi="Symbol" w:hint="default"/>
      </w:rPr>
    </w:lvl>
    <w:lvl w:ilvl="1" w:tplc="E68AC2D2">
      <w:numFmt w:val="bullet"/>
      <w:lvlText w:val="o"/>
      <w:lvlJc w:val="left"/>
      <w:pPr>
        <w:tabs>
          <w:tab w:val="num" w:pos="1440"/>
        </w:tabs>
        <w:ind w:left="1440" w:hanging="360"/>
      </w:pPr>
      <w:rPr>
        <w:rFonts w:ascii="Courier New" w:hAnsi="Courier New" w:hint="default"/>
      </w:rPr>
    </w:lvl>
    <w:lvl w:ilvl="2" w:tplc="66D0D4B6" w:tentative="1">
      <w:start w:val="1"/>
      <w:numFmt w:val="bullet"/>
      <w:lvlText w:val=""/>
      <w:lvlJc w:val="left"/>
      <w:pPr>
        <w:tabs>
          <w:tab w:val="num" w:pos="2160"/>
        </w:tabs>
        <w:ind w:left="2160" w:hanging="360"/>
      </w:pPr>
      <w:rPr>
        <w:rFonts w:ascii="Symbol" w:hAnsi="Symbol" w:hint="default"/>
      </w:rPr>
    </w:lvl>
    <w:lvl w:ilvl="3" w:tplc="C4462F24" w:tentative="1">
      <w:start w:val="1"/>
      <w:numFmt w:val="bullet"/>
      <w:lvlText w:val=""/>
      <w:lvlJc w:val="left"/>
      <w:pPr>
        <w:tabs>
          <w:tab w:val="num" w:pos="2880"/>
        </w:tabs>
        <w:ind w:left="2880" w:hanging="360"/>
      </w:pPr>
      <w:rPr>
        <w:rFonts w:ascii="Symbol" w:hAnsi="Symbol" w:hint="default"/>
      </w:rPr>
    </w:lvl>
    <w:lvl w:ilvl="4" w:tplc="EFE6E356" w:tentative="1">
      <w:start w:val="1"/>
      <w:numFmt w:val="bullet"/>
      <w:lvlText w:val=""/>
      <w:lvlJc w:val="left"/>
      <w:pPr>
        <w:tabs>
          <w:tab w:val="num" w:pos="3600"/>
        </w:tabs>
        <w:ind w:left="3600" w:hanging="360"/>
      </w:pPr>
      <w:rPr>
        <w:rFonts w:ascii="Symbol" w:hAnsi="Symbol" w:hint="default"/>
      </w:rPr>
    </w:lvl>
    <w:lvl w:ilvl="5" w:tplc="E2740628" w:tentative="1">
      <w:start w:val="1"/>
      <w:numFmt w:val="bullet"/>
      <w:lvlText w:val=""/>
      <w:lvlJc w:val="left"/>
      <w:pPr>
        <w:tabs>
          <w:tab w:val="num" w:pos="4320"/>
        </w:tabs>
        <w:ind w:left="4320" w:hanging="360"/>
      </w:pPr>
      <w:rPr>
        <w:rFonts w:ascii="Symbol" w:hAnsi="Symbol" w:hint="default"/>
      </w:rPr>
    </w:lvl>
    <w:lvl w:ilvl="6" w:tplc="B0786A4C" w:tentative="1">
      <w:start w:val="1"/>
      <w:numFmt w:val="bullet"/>
      <w:lvlText w:val=""/>
      <w:lvlJc w:val="left"/>
      <w:pPr>
        <w:tabs>
          <w:tab w:val="num" w:pos="5040"/>
        </w:tabs>
        <w:ind w:left="5040" w:hanging="360"/>
      </w:pPr>
      <w:rPr>
        <w:rFonts w:ascii="Symbol" w:hAnsi="Symbol" w:hint="default"/>
      </w:rPr>
    </w:lvl>
    <w:lvl w:ilvl="7" w:tplc="863635D4" w:tentative="1">
      <w:start w:val="1"/>
      <w:numFmt w:val="bullet"/>
      <w:lvlText w:val=""/>
      <w:lvlJc w:val="left"/>
      <w:pPr>
        <w:tabs>
          <w:tab w:val="num" w:pos="5760"/>
        </w:tabs>
        <w:ind w:left="5760" w:hanging="360"/>
      </w:pPr>
      <w:rPr>
        <w:rFonts w:ascii="Symbol" w:hAnsi="Symbol" w:hint="default"/>
      </w:rPr>
    </w:lvl>
    <w:lvl w:ilvl="8" w:tplc="5BC2A04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35C663C"/>
    <w:multiLevelType w:val="hybridMultilevel"/>
    <w:tmpl w:val="79461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6586066"/>
    <w:multiLevelType w:val="hybridMultilevel"/>
    <w:tmpl w:val="DAA2FBA8"/>
    <w:lvl w:ilvl="0" w:tplc="F2ECE674">
      <w:start w:val="1"/>
      <w:numFmt w:val="bullet"/>
      <w:lvlText w:val=""/>
      <w:lvlJc w:val="left"/>
      <w:pPr>
        <w:tabs>
          <w:tab w:val="num" w:pos="720"/>
        </w:tabs>
        <w:ind w:left="720" w:hanging="360"/>
      </w:pPr>
      <w:rPr>
        <w:rFonts w:ascii="Symbol" w:hAnsi="Symbol" w:hint="default"/>
      </w:rPr>
    </w:lvl>
    <w:lvl w:ilvl="1" w:tplc="7EC0ED7C">
      <w:numFmt w:val="bullet"/>
      <w:lvlText w:val="o"/>
      <w:lvlJc w:val="left"/>
      <w:pPr>
        <w:tabs>
          <w:tab w:val="num" w:pos="1440"/>
        </w:tabs>
        <w:ind w:left="1440" w:hanging="360"/>
      </w:pPr>
      <w:rPr>
        <w:rFonts w:ascii="Courier New" w:hAnsi="Courier New" w:hint="default"/>
      </w:rPr>
    </w:lvl>
    <w:lvl w:ilvl="2" w:tplc="370C3BEA">
      <w:numFmt w:val="bullet"/>
      <w:lvlText w:val=""/>
      <w:lvlJc w:val="left"/>
      <w:pPr>
        <w:tabs>
          <w:tab w:val="num" w:pos="2160"/>
        </w:tabs>
        <w:ind w:left="2160" w:hanging="360"/>
      </w:pPr>
      <w:rPr>
        <w:rFonts w:ascii="Wingdings" w:hAnsi="Wingdings" w:hint="default"/>
      </w:rPr>
    </w:lvl>
    <w:lvl w:ilvl="3" w:tplc="0666E2DC" w:tentative="1">
      <w:start w:val="1"/>
      <w:numFmt w:val="bullet"/>
      <w:lvlText w:val=""/>
      <w:lvlJc w:val="left"/>
      <w:pPr>
        <w:tabs>
          <w:tab w:val="num" w:pos="2880"/>
        </w:tabs>
        <w:ind w:left="2880" w:hanging="360"/>
      </w:pPr>
      <w:rPr>
        <w:rFonts w:ascii="Symbol" w:hAnsi="Symbol" w:hint="default"/>
      </w:rPr>
    </w:lvl>
    <w:lvl w:ilvl="4" w:tplc="B93EF4D8" w:tentative="1">
      <w:start w:val="1"/>
      <w:numFmt w:val="bullet"/>
      <w:lvlText w:val=""/>
      <w:lvlJc w:val="left"/>
      <w:pPr>
        <w:tabs>
          <w:tab w:val="num" w:pos="3600"/>
        </w:tabs>
        <w:ind w:left="3600" w:hanging="360"/>
      </w:pPr>
      <w:rPr>
        <w:rFonts w:ascii="Symbol" w:hAnsi="Symbol" w:hint="default"/>
      </w:rPr>
    </w:lvl>
    <w:lvl w:ilvl="5" w:tplc="87B8004E" w:tentative="1">
      <w:start w:val="1"/>
      <w:numFmt w:val="bullet"/>
      <w:lvlText w:val=""/>
      <w:lvlJc w:val="left"/>
      <w:pPr>
        <w:tabs>
          <w:tab w:val="num" w:pos="4320"/>
        </w:tabs>
        <w:ind w:left="4320" w:hanging="360"/>
      </w:pPr>
      <w:rPr>
        <w:rFonts w:ascii="Symbol" w:hAnsi="Symbol" w:hint="default"/>
      </w:rPr>
    </w:lvl>
    <w:lvl w:ilvl="6" w:tplc="1AC2CC90" w:tentative="1">
      <w:start w:val="1"/>
      <w:numFmt w:val="bullet"/>
      <w:lvlText w:val=""/>
      <w:lvlJc w:val="left"/>
      <w:pPr>
        <w:tabs>
          <w:tab w:val="num" w:pos="5040"/>
        </w:tabs>
        <w:ind w:left="5040" w:hanging="360"/>
      </w:pPr>
      <w:rPr>
        <w:rFonts w:ascii="Symbol" w:hAnsi="Symbol" w:hint="default"/>
      </w:rPr>
    </w:lvl>
    <w:lvl w:ilvl="7" w:tplc="270EB1B2" w:tentative="1">
      <w:start w:val="1"/>
      <w:numFmt w:val="bullet"/>
      <w:lvlText w:val=""/>
      <w:lvlJc w:val="left"/>
      <w:pPr>
        <w:tabs>
          <w:tab w:val="num" w:pos="5760"/>
        </w:tabs>
        <w:ind w:left="5760" w:hanging="360"/>
      </w:pPr>
      <w:rPr>
        <w:rFonts w:ascii="Symbol" w:hAnsi="Symbol" w:hint="default"/>
      </w:rPr>
    </w:lvl>
    <w:lvl w:ilvl="8" w:tplc="86DACF2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B5C4D46"/>
    <w:multiLevelType w:val="hybridMultilevel"/>
    <w:tmpl w:val="8CAAEA86"/>
    <w:lvl w:ilvl="0" w:tplc="D44E4E76">
      <w:start w:val="1"/>
      <w:numFmt w:val="bullet"/>
      <w:lvlText w:val="•"/>
      <w:lvlJc w:val="left"/>
      <w:pPr>
        <w:tabs>
          <w:tab w:val="num" w:pos="720"/>
        </w:tabs>
        <w:ind w:left="720" w:hanging="360"/>
      </w:pPr>
      <w:rPr>
        <w:rFonts w:ascii="Arial" w:hAnsi="Arial" w:hint="default"/>
      </w:rPr>
    </w:lvl>
    <w:lvl w:ilvl="1" w:tplc="9C92FC9C">
      <w:numFmt w:val="bullet"/>
      <w:lvlText w:val="•"/>
      <w:lvlJc w:val="left"/>
      <w:pPr>
        <w:tabs>
          <w:tab w:val="num" w:pos="1440"/>
        </w:tabs>
        <w:ind w:left="1440" w:hanging="360"/>
      </w:pPr>
      <w:rPr>
        <w:rFonts w:ascii="Arial" w:hAnsi="Arial" w:hint="default"/>
      </w:rPr>
    </w:lvl>
    <w:lvl w:ilvl="2" w:tplc="893AF02E" w:tentative="1">
      <w:start w:val="1"/>
      <w:numFmt w:val="bullet"/>
      <w:lvlText w:val="•"/>
      <w:lvlJc w:val="left"/>
      <w:pPr>
        <w:tabs>
          <w:tab w:val="num" w:pos="2160"/>
        </w:tabs>
        <w:ind w:left="2160" w:hanging="360"/>
      </w:pPr>
      <w:rPr>
        <w:rFonts w:ascii="Arial" w:hAnsi="Arial" w:hint="default"/>
      </w:rPr>
    </w:lvl>
    <w:lvl w:ilvl="3" w:tplc="97FA01BA" w:tentative="1">
      <w:start w:val="1"/>
      <w:numFmt w:val="bullet"/>
      <w:lvlText w:val="•"/>
      <w:lvlJc w:val="left"/>
      <w:pPr>
        <w:tabs>
          <w:tab w:val="num" w:pos="2880"/>
        </w:tabs>
        <w:ind w:left="2880" w:hanging="360"/>
      </w:pPr>
      <w:rPr>
        <w:rFonts w:ascii="Arial" w:hAnsi="Arial" w:hint="default"/>
      </w:rPr>
    </w:lvl>
    <w:lvl w:ilvl="4" w:tplc="8CF4F1A6" w:tentative="1">
      <w:start w:val="1"/>
      <w:numFmt w:val="bullet"/>
      <w:lvlText w:val="•"/>
      <w:lvlJc w:val="left"/>
      <w:pPr>
        <w:tabs>
          <w:tab w:val="num" w:pos="3600"/>
        </w:tabs>
        <w:ind w:left="3600" w:hanging="360"/>
      </w:pPr>
      <w:rPr>
        <w:rFonts w:ascii="Arial" w:hAnsi="Arial" w:hint="default"/>
      </w:rPr>
    </w:lvl>
    <w:lvl w:ilvl="5" w:tplc="00949E16" w:tentative="1">
      <w:start w:val="1"/>
      <w:numFmt w:val="bullet"/>
      <w:lvlText w:val="•"/>
      <w:lvlJc w:val="left"/>
      <w:pPr>
        <w:tabs>
          <w:tab w:val="num" w:pos="4320"/>
        </w:tabs>
        <w:ind w:left="4320" w:hanging="360"/>
      </w:pPr>
      <w:rPr>
        <w:rFonts w:ascii="Arial" w:hAnsi="Arial" w:hint="default"/>
      </w:rPr>
    </w:lvl>
    <w:lvl w:ilvl="6" w:tplc="4E603776" w:tentative="1">
      <w:start w:val="1"/>
      <w:numFmt w:val="bullet"/>
      <w:lvlText w:val="•"/>
      <w:lvlJc w:val="left"/>
      <w:pPr>
        <w:tabs>
          <w:tab w:val="num" w:pos="5040"/>
        </w:tabs>
        <w:ind w:left="5040" w:hanging="360"/>
      </w:pPr>
      <w:rPr>
        <w:rFonts w:ascii="Arial" w:hAnsi="Arial" w:hint="default"/>
      </w:rPr>
    </w:lvl>
    <w:lvl w:ilvl="7" w:tplc="145A024C" w:tentative="1">
      <w:start w:val="1"/>
      <w:numFmt w:val="bullet"/>
      <w:lvlText w:val="•"/>
      <w:lvlJc w:val="left"/>
      <w:pPr>
        <w:tabs>
          <w:tab w:val="num" w:pos="5760"/>
        </w:tabs>
        <w:ind w:left="5760" w:hanging="360"/>
      </w:pPr>
      <w:rPr>
        <w:rFonts w:ascii="Arial" w:hAnsi="Arial" w:hint="default"/>
      </w:rPr>
    </w:lvl>
    <w:lvl w:ilvl="8" w:tplc="87EAA0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580F4B"/>
    <w:multiLevelType w:val="hybridMultilevel"/>
    <w:tmpl w:val="DFA8B898"/>
    <w:lvl w:ilvl="0" w:tplc="0ED43C66">
      <w:start w:val="1"/>
      <w:numFmt w:val="bullet"/>
      <w:lvlText w:val="-"/>
      <w:lvlJc w:val="left"/>
      <w:pPr>
        <w:tabs>
          <w:tab w:val="num" w:pos="720"/>
        </w:tabs>
        <w:ind w:left="720" w:hanging="360"/>
      </w:pPr>
      <w:rPr>
        <w:rFonts w:ascii="Times New Roman" w:hAnsi="Times New Roman" w:hint="default"/>
      </w:rPr>
    </w:lvl>
    <w:lvl w:ilvl="1" w:tplc="783C28B4">
      <w:numFmt w:val="bullet"/>
      <w:lvlText w:val="o"/>
      <w:lvlJc w:val="left"/>
      <w:pPr>
        <w:tabs>
          <w:tab w:val="num" w:pos="1440"/>
        </w:tabs>
        <w:ind w:left="1440" w:hanging="360"/>
      </w:pPr>
      <w:rPr>
        <w:rFonts w:ascii="Courier New" w:hAnsi="Courier New" w:hint="default"/>
      </w:rPr>
    </w:lvl>
    <w:lvl w:ilvl="2" w:tplc="CD22330E" w:tentative="1">
      <w:start w:val="1"/>
      <w:numFmt w:val="bullet"/>
      <w:lvlText w:val="-"/>
      <w:lvlJc w:val="left"/>
      <w:pPr>
        <w:tabs>
          <w:tab w:val="num" w:pos="2160"/>
        </w:tabs>
        <w:ind w:left="2160" w:hanging="360"/>
      </w:pPr>
      <w:rPr>
        <w:rFonts w:ascii="Times New Roman" w:hAnsi="Times New Roman" w:hint="default"/>
      </w:rPr>
    </w:lvl>
    <w:lvl w:ilvl="3" w:tplc="0AC20AEE" w:tentative="1">
      <w:start w:val="1"/>
      <w:numFmt w:val="bullet"/>
      <w:lvlText w:val="-"/>
      <w:lvlJc w:val="left"/>
      <w:pPr>
        <w:tabs>
          <w:tab w:val="num" w:pos="2880"/>
        </w:tabs>
        <w:ind w:left="2880" w:hanging="360"/>
      </w:pPr>
      <w:rPr>
        <w:rFonts w:ascii="Times New Roman" w:hAnsi="Times New Roman" w:hint="default"/>
      </w:rPr>
    </w:lvl>
    <w:lvl w:ilvl="4" w:tplc="C890EA96" w:tentative="1">
      <w:start w:val="1"/>
      <w:numFmt w:val="bullet"/>
      <w:lvlText w:val="-"/>
      <w:lvlJc w:val="left"/>
      <w:pPr>
        <w:tabs>
          <w:tab w:val="num" w:pos="3600"/>
        </w:tabs>
        <w:ind w:left="3600" w:hanging="360"/>
      </w:pPr>
      <w:rPr>
        <w:rFonts w:ascii="Times New Roman" w:hAnsi="Times New Roman" w:hint="default"/>
      </w:rPr>
    </w:lvl>
    <w:lvl w:ilvl="5" w:tplc="FEA6BD98" w:tentative="1">
      <w:start w:val="1"/>
      <w:numFmt w:val="bullet"/>
      <w:lvlText w:val="-"/>
      <w:lvlJc w:val="left"/>
      <w:pPr>
        <w:tabs>
          <w:tab w:val="num" w:pos="4320"/>
        </w:tabs>
        <w:ind w:left="4320" w:hanging="360"/>
      </w:pPr>
      <w:rPr>
        <w:rFonts w:ascii="Times New Roman" w:hAnsi="Times New Roman" w:hint="default"/>
      </w:rPr>
    </w:lvl>
    <w:lvl w:ilvl="6" w:tplc="22045F2A" w:tentative="1">
      <w:start w:val="1"/>
      <w:numFmt w:val="bullet"/>
      <w:lvlText w:val="-"/>
      <w:lvlJc w:val="left"/>
      <w:pPr>
        <w:tabs>
          <w:tab w:val="num" w:pos="5040"/>
        </w:tabs>
        <w:ind w:left="5040" w:hanging="360"/>
      </w:pPr>
      <w:rPr>
        <w:rFonts w:ascii="Times New Roman" w:hAnsi="Times New Roman" w:hint="default"/>
      </w:rPr>
    </w:lvl>
    <w:lvl w:ilvl="7" w:tplc="28A6BC72" w:tentative="1">
      <w:start w:val="1"/>
      <w:numFmt w:val="bullet"/>
      <w:lvlText w:val="-"/>
      <w:lvlJc w:val="left"/>
      <w:pPr>
        <w:tabs>
          <w:tab w:val="num" w:pos="5760"/>
        </w:tabs>
        <w:ind w:left="5760" w:hanging="360"/>
      </w:pPr>
      <w:rPr>
        <w:rFonts w:ascii="Times New Roman" w:hAnsi="Times New Roman" w:hint="default"/>
      </w:rPr>
    </w:lvl>
    <w:lvl w:ilvl="8" w:tplc="F2B6C4E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2175F2"/>
    <w:multiLevelType w:val="hybridMultilevel"/>
    <w:tmpl w:val="2146FCBA"/>
    <w:lvl w:ilvl="0" w:tplc="F7CCD33A">
      <w:start w:val="1"/>
      <w:numFmt w:val="decimal"/>
      <w:lvlText w:val="%1)"/>
      <w:lvlJc w:val="left"/>
      <w:pPr>
        <w:tabs>
          <w:tab w:val="num" w:pos="720"/>
        </w:tabs>
        <w:ind w:left="720" w:hanging="360"/>
      </w:pPr>
    </w:lvl>
    <w:lvl w:ilvl="1" w:tplc="DFF2FA04">
      <w:start w:val="1"/>
      <w:numFmt w:val="lowerLetter"/>
      <w:lvlText w:val="%2)"/>
      <w:lvlJc w:val="left"/>
      <w:pPr>
        <w:tabs>
          <w:tab w:val="num" w:pos="1440"/>
        </w:tabs>
        <w:ind w:left="1440" w:hanging="360"/>
      </w:pPr>
    </w:lvl>
    <w:lvl w:ilvl="2" w:tplc="2C40D82E" w:tentative="1">
      <w:start w:val="1"/>
      <w:numFmt w:val="decimal"/>
      <w:lvlText w:val="%3)"/>
      <w:lvlJc w:val="left"/>
      <w:pPr>
        <w:tabs>
          <w:tab w:val="num" w:pos="2160"/>
        </w:tabs>
        <w:ind w:left="2160" w:hanging="360"/>
      </w:pPr>
    </w:lvl>
    <w:lvl w:ilvl="3" w:tplc="EDB02C0A" w:tentative="1">
      <w:start w:val="1"/>
      <w:numFmt w:val="decimal"/>
      <w:lvlText w:val="%4)"/>
      <w:lvlJc w:val="left"/>
      <w:pPr>
        <w:tabs>
          <w:tab w:val="num" w:pos="2880"/>
        </w:tabs>
        <w:ind w:left="2880" w:hanging="360"/>
      </w:pPr>
    </w:lvl>
    <w:lvl w:ilvl="4" w:tplc="E384C6FE" w:tentative="1">
      <w:start w:val="1"/>
      <w:numFmt w:val="decimal"/>
      <w:lvlText w:val="%5)"/>
      <w:lvlJc w:val="left"/>
      <w:pPr>
        <w:tabs>
          <w:tab w:val="num" w:pos="3600"/>
        </w:tabs>
        <w:ind w:left="3600" w:hanging="360"/>
      </w:pPr>
    </w:lvl>
    <w:lvl w:ilvl="5" w:tplc="B8E48710" w:tentative="1">
      <w:start w:val="1"/>
      <w:numFmt w:val="decimal"/>
      <w:lvlText w:val="%6)"/>
      <w:lvlJc w:val="left"/>
      <w:pPr>
        <w:tabs>
          <w:tab w:val="num" w:pos="4320"/>
        </w:tabs>
        <w:ind w:left="4320" w:hanging="360"/>
      </w:pPr>
    </w:lvl>
    <w:lvl w:ilvl="6" w:tplc="F55C63CA" w:tentative="1">
      <w:start w:val="1"/>
      <w:numFmt w:val="decimal"/>
      <w:lvlText w:val="%7)"/>
      <w:lvlJc w:val="left"/>
      <w:pPr>
        <w:tabs>
          <w:tab w:val="num" w:pos="5040"/>
        </w:tabs>
        <w:ind w:left="5040" w:hanging="360"/>
      </w:pPr>
    </w:lvl>
    <w:lvl w:ilvl="7" w:tplc="B85AF7B2" w:tentative="1">
      <w:start w:val="1"/>
      <w:numFmt w:val="decimal"/>
      <w:lvlText w:val="%8)"/>
      <w:lvlJc w:val="left"/>
      <w:pPr>
        <w:tabs>
          <w:tab w:val="num" w:pos="5760"/>
        </w:tabs>
        <w:ind w:left="5760" w:hanging="360"/>
      </w:pPr>
    </w:lvl>
    <w:lvl w:ilvl="8" w:tplc="17824D92" w:tentative="1">
      <w:start w:val="1"/>
      <w:numFmt w:val="decimal"/>
      <w:lvlText w:val="%9)"/>
      <w:lvlJc w:val="left"/>
      <w:pPr>
        <w:tabs>
          <w:tab w:val="num" w:pos="6480"/>
        </w:tabs>
        <w:ind w:left="6480" w:hanging="360"/>
      </w:pPr>
    </w:lvl>
  </w:abstractNum>
  <w:abstractNum w:abstractNumId="26" w15:restartNumberingAfterBreak="0">
    <w:nsid w:val="5F952A73"/>
    <w:multiLevelType w:val="hybridMultilevel"/>
    <w:tmpl w:val="DF6607B6"/>
    <w:lvl w:ilvl="0" w:tplc="323452EC">
      <w:start w:val="1"/>
      <w:numFmt w:val="bullet"/>
      <w:lvlText w:val="­"/>
      <w:lvlJc w:val="left"/>
      <w:pPr>
        <w:ind w:left="440" w:hanging="440"/>
      </w:pPr>
      <w:rPr>
        <w:rFonts w:ascii="等线" w:eastAsia="等线" w:hAnsi="等线"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33E16C9"/>
    <w:multiLevelType w:val="hybridMultilevel"/>
    <w:tmpl w:val="8830FC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9"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start w:val="1"/>
      <w:numFmt w:val="bullet"/>
      <w:lvlText w:val=""/>
      <w:lvlJc w:val="left"/>
      <w:pPr>
        <w:ind w:left="3280" w:hanging="440"/>
      </w:pPr>
      <w:rPr>
        <w:rFonts w:ascii="Wingdings" w:hAnsi="Wingdings" w:hint="default"/>
      </w:rPr>
    </w:lvl>
    <w:lvl w:ilvl="5" w:tplc="0409000D">
      <w:start w:val="1"/>
      <w:numFmt w:val="bullet"/>
      <w:lvlText w:val=""/>
      <w:lvlJc w:val="left"/>
      <w:pPr>
        <w:ind w:left="3720" w:hanging="440"/>
      </w:pPr>
      <w:rPr>
        <w:rFonts w:ascii="Wingdings" w:hAnsi="Wingdings" w:hint="default"/>
      </w:rPr>
    </w:lvl>
    <w:lvl w:ilvl="6" w:tplc="04090001">
      <w:start w:val="1"/>
      <w:numFmt w:val="bullet"/>
      <w:lvlText w:val=""/>
      <w:lvlJc w:val="left"/>
      <w:pPr>
        <w:ind w:left="4160" w:hanging="440"/>
      </w:pPr>
      <w:rPr>
        <w:rFonts w:ascii="Wingdings" w:hAnsi="Wingdings" w:hint="default"/>
      </w:rPr>
    </w:lvl>
    <w:lvl w:ilvl="7" w:tplc="0409000B">
      <w:start w:val="1"/>
      <w:numFmt w:val="bullet"/>
      <w:lvlText w:val=""/>
      <w:lvlJc w:val="left"/>
      <w:pPr>
        <w:ind w:left="4600" w:hanging="440"/>
      </w:pPr>
      <w:rPr>
        <w:rFonts w:ascii="Wingdings" w:hAnsi="Wingdings" w:hint="default"/>
      </w:rPr>
    </w:lvl>
    <w:lvl w:ilvl="8" w:tplc="0409000D">
      <w:start w:val="1"/>
      <w:numFmt w:val="bullet"/>
      <w:lvlText w:val=""/>
      <w:lvlJc w:val="left"/>
      <w:pPr>
        <w:ind w:left="5040" w:hanging="440"/>
      </w:pPr>
      <w:rPr>
        <w:rFonts w:ascii="Wingdings" w:hAnsi="Wingdings" w:hint="default"/>
      </w:rPr>
    </w:lvl>
  </w:abstractNum>
  <w:abstractNum w:abstractNumId="30"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E53F51"/>
    <w:multiLevelType w:val="hybridMultilevel"/>
    <w:tmpl w:val="AE44DE60"/>
    <w:lvl w:ilvl="0" w:tplc="A7C6E18A">
      <w:start w:val="1"/>
      <w:numFmt w:val="bullet"/>
      <w:lvlText w:val=""/>
      <w:lvlJc w:val="left"/>
      <w:pPr>
        <w:tabs>
          <w:tab w:val="num" w:pos="720"/>
        </w:tabs>
        <w:ind w:left="720" w:hanging="360"/>
      </w:pPr>
      <w:rPr>
        <w:rFonts w:ascii="Wingdings" w:hAnsi="Wingdings" w:hint="default"/>
      </w:rPr>
    </w:lvl>
    <w:lvl w:ilvl="1" w:tplc="114E4D00">
      <w:start w:val="1"/>
      <w:numFmt w:val="bullet"/>
      <w:lvlText w:val=""/>
      <w:lvlJc w:val="left"/>
      <w:pPr>
        <w:tabs>
          <w:tab w:val="num" w:pos="1440"/>
        </w:tabs>
        <w:ind w:left="1440" w:hanging="360"/>
      </w:pPr>
      <w:rPr>
        <w:rFonts w:ascii="Wingdings" w:hAnsi="Wingdings" w:hint="default"/>
      </w:rPr>
    </w:lvl>
    <w:lvl w:ilvl="2" w:tplc="92122C68">
      <w:numFmt w:val="bullet"/>
      <w:lvlText w:val=""/>
      <w:lvlJc w:val="left"/>
      <w:pPr>
        <w:tabs>
          <w:tab w:val="num" w:pos="2160"/>
        </w:tabs>
        <w:ind w:left="2160" w:hanging="360"/>
      </w:pPr>
      <w:rPr>
        <w:rFonts w:ascii="Wingdings" w:hAnsi="Wingdings" w:hint="default"/>
      </w:rPr>
    </w:lvl>
    <w:lvl w:ilvl="3" w:tplc="F082761E">
      <w:numFmt w:val="bullet"/>
      <w:lvlText w:val=""/>
      <w:lvlJc w:val="left"/>
      <w:pPr>
        <w:tabs>
          <w:tab w:val="num" w:pos="2880"/>
        </w:tabs>
        <w:ind w:left="2880" w:hanging="360"/>
      </w:pPr>
      <w:rPr>
        <w:rFonts w:ascii="Wingdings" w:hAnsi="Wingdings" w:hint="default"/>
      </w:rPr>
    </w:lvl>
    <w:lvl w:ilvl="4" w:tplc="DD081AE0" w:tentative="1">
      <w:start w:val="1"/>
      <w:numFmt w:val="bullet"/>
      <w:lvlText w:val=""/>
      <w:lvlJc w:val="left"/>
      <w:pPr>
        <w:tabs>
          <w:tab w:val="num" w:pos="3600"/>
        </w:tabs>
        <w:ind w:left="3600" w:hanging="360"/>
      </w:pPr>
      <w:rPr>
        <w:rFonts w:ascii="Wingdings" w:hAnsi="Wingdings" w:hint="default"/>
      </w:rPr>
    </w:lvl>
    <w:lvl w:ilvl="5" w:tplc="4A864550" w:tentative="1">
      <w:start w:val="1"/>
      <w:numFmt w:val="bullet"/>
      <w:lvlText w:val=""/>
      <w:lvlJc w:val="left"/>
      <w:pPr>
        <w:tabs>
          <w:tab w:val="num" w:pos="4320"/>
        </w:tabs>
        <w:ind w:left="4320" w:hanging="360"/>
      </w:pPr>
      <w:rPr>
        <w:rFonts w:ascii="Wingdings" w:hAnsi="Wingdings" w:hint="default"/>
      </w:rPr>
    </w:lvl>
    <w:lvl w:ilvl="6" w:tplc="8C3675CE" w:tentative="1">
      <w:start w:val="1"/>
      <w:numFmt w:val="bullet"/>
      <w:lvlText w:val=""/>
      <w:lvlJc w:val="left"/>
      <w:pPr>
        <w:tabs>
          <w:tab w:val="num" w:pos="5040"/>
        </w:tabs>
        <w:ind w:left="5040" w:hanging="360"/>
      </w:pPr>
      <w:rPr>
        <w:rFonts w:ascii="Wingdings" w:hAnsi="Wingdings" w:hint="default"/>
      </w:rPr>
    </w:lvl>
    <w:lvl w:ilvl="7" w:tplc="BE0204F4" w:tentative="1">
      <w:start w:val="1"/>
      <w:numFmt w:val="bullet"/>
      <w:lvlText w:val=""/>
      <w:lvlJc w:val="left"/>
      <w:pPr>
        <w:tabs>
          <w:tab w:val="num" w:pos="5760"/>
        </w:tabs>
        <w:ind w:left="5760" w:hanging="360"/>
      </w:pPr>
      <w:rPr>
        <w:rFonts w:ascii="Wingdings" w:hAnsi="Wingdings" w:hint="default"/>
      </w:rPr>
    </w:lvl>
    <w:lvl w:ilvl="8" w:tplc="6FB8637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394BF6"/>
    <w:multiLevelType w:val="hybridMultilevel"/>
    <w:tmpl w:val="C70250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67C44A2"/>
    <w:multiLevelType w:val="hybridMultilevel"/>
    <w:tmpl w:val="AB62645E"/>
    <w:lvl w:ilvl="0" w:tplc="C9BA91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69813188">
    <w:abstractNumId w:val="19"/>
  </w:num>
  <w:num w:numId="2" w16cid:durableId="1922837493">
    <w:abstractNumId w:val="14"/>
  </w:num>
  <w:num w:numId="3" w16cid:durableId="1996493083">
    <w:abstractNumId w:val="0"/>
  </w:num>
  <w:num w:numId="4" w16cid:durableId="282807018">
    <w:abstractNumId w:val="21"/>
  </w:num>
  <w:num w:numId="5" w16cid:durableId="826438824">
    <w:abstractNumId w:val="22"/>
  </w:num>
  <w:num w:numId="6" w16cid:durableId="10954744">
    <w:abstractNumId w:val="24"/>
  </w:num>
  <w:num w:numId="7" w16cid:durableId="183830960">
    <w:abstractNumId w:val="7"/>
  </w:num>
  <w:num w:numId="8" w16cid:durableId="1606114056">
    <w:abstractNumId w:val="9"/>
  </w:num>
  <w:num w:numId="9" w16cid:durableId="2129543684">
    <w:abstractNumId w:val="1"/>
  </w:num>
  <w:num w:numId="10" w16cid:durableId="1458717335">
    <w:abstractNumId w:val="35"/>
  </w:num>
  <w:num w:numId="11" w16cid:durableId="1670518138">
    <w:abstractNumId w:val="12"/>
  </w:num>
  <w:num w:numId="12" w16cid:durableId="350379046">
    <w:abstractNumId w:val="32"/>
  </w:num>
  <w:num w:numId="13" w16cid:durableId="122043147">
    <w:abstractNumId w:val="23"/>
  </w:num>
  <w:num w:numId="14" w16cid:durableId="1344628431">
    <w:abstractNumId w:val="27"/>
  </w:num>
  <w:num w:numId="15" w16cid:durableId="1170023414">
    <w:abstractNumId w:val="28"/>
  </w:num>
  <w:num w:numId="16" w16cid:durableId="1633634077">
    <w:abstractNumId w:val="30"/>
  </w:num>
  <w:num w:numId="17" w16cid:durableId="866679861">
    <w:abstractNumId w:val="33"/>
  </w:num>
  <w:num w:numId="18" w16cid:durableId="429013429">
    <w:abstractNumId w:val="18"/>
  </w:num>
  <w:num w:numId="19" w16cid:durableId="1286039240">
    <w:abstractNumId w:val="5"/>
  </w:num>
  <w:num w:numId="20" w16cid:durableId="1090464100">
    <w:abstractNumId w:val="17"/>
  </w:num>
  <w:num w:numId="21" w16cid:durableId="1154494269">
    <w:abstractNumId w:val="20"/>
  </w:num>
  <w:num w:numId="22" w16cid:durableId="1415467070">
    <w:abstractNumId w:val="23"/>
  </w:num>
  <w:num w:numId="23" w16cid:durableId="1972900685">
    <w:abstractNumId w:val="13"/>
  </w:num>
  <w:num w:numId="24" w16cid:durableId="1342512122">
    <w:abstractNumId w:val="4"/>
  </w:num>
  <w:num w:numId="25" w16cid:durableId="1963144639">
    <w:abstractNumId w:val="23"/>
  </w:num>
  <w:num w:numId="26" w16cid:durableId="1894002374">
    <w:abstractNumId w:val="23"/>
  </w:num>
  <w:num w:numId="27" w16cid:durableId="1808352624">
    <w:abstractNumId w:val="34"/>
  </w:num>
  <w:num w:numId="28" w16cid:durableId="514996960">
    <w:abstractNumId w:val="10"/>
  </w:num>
  <w:num w:numId="29" w16cid:durableId="369767746">
    <w:abstractNumId w:val="37"/>
  </w:num>
  <w:num w:numId="30" w16cid:durableId="20710497">
    <w:abstractNumId w:val="3"/>
  </w:num>
  <w:num w:numId="31" w16cid:durableId="1764375308">
    <w:abstractNumId w:val="15"/>
  </w:num>
  <w:num w:numId="32" w16cid:durableId="305017553">
    <w:abstractNumId w:val="8"/>
  </w:num>
  <w:num w:numId="33" w16cid:durableId="1085028568">
    <w:abstractNumId w:val="26"/>
  </w:num>
  <w:num w:numId="34" w16cid:durableId="966669399">
    <w:abstractNumId w:val="11"/>
  </w:num>
  <w:num w:numId="35" w16cid:durableId="592591985">
    <w:abstractNumId w:val="25"/>
  </w:num>
  <w:num w:numId="36" w16cid:durableId="2018580555">
    <w:abstractNumId w:val="6"/>
  </w:num>
  <w:num w:numId="37" w16cid:durableId="2059746512">
    <w:abstractNumId w:val="16"/>
  </w:num>
  <w:num w:numId="38" w16cid:durableId="1918972201">
    <w:abstractNumId w:val="2"/>
  </w:num>
  <w:num w:numId="39" w16cid:durableId="918176461">
    <w:abstractNumId w:val="29"/>
  </w:num>
  <w:num w:numId="40" w16cid:durableId="77871164">
    <w:abstractNumId w:val="31"/>
  </w:num>
  <w:num w:numId="41" w16cid:durableId="748694424">
    <w:abstractNumId w:val="38"/>
  </w:num>
  <w:num w:numId="42" w16cid:durableId="169412270">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3F"/>
    <w:rsid w:val="000006E1"/>
    <w:rsid w:val="00002A37"/>
    <w:rsid w:val="0000400B"/>
    <w:rsid w:val="00004CAE"/>
    <w:rsid w:val="00005629"/>
    <w:rsid w:val="0000564C"/>
    <w:rsid w:val="00006446"/>
    <w:rsid w:val="00006896"/>
    <w:rsid w:val="00006BD7"/>
    <w:rsid w:val="00007120"/>
    <w:rsid w:val="000077AF"/>
    <w:rsid w:val="00007CDC"/>
    <w:rsid w:val="00010FE5"/>
    <w:rsid w:val="00011B28"/>
    <w:rsid w:val="000158D7"/>
    <w:rsid w:val="00015D15"/>
    <w:rsid w:val="00015F35"/>
    <w:rsid w:val="00016E74"/>
    <w:rsid w:val="00017CCA"/>
    <w:rsid w:val="00023837"/>
    <w:rsid w:val="00023EED"/>
    <w:rsid w:val="00024277"/>
    <w:rsid w:val="0002564D"/>
    <w:rsid w:val="00025ECA"/>
    <w:rsid w:val="000267BE"/>
    <w:rsid w:val="00026F1A"/>
    <w:rsid w:val="00030594"/>
    <w:rsid w:val="00030783"/>
    <w:rsid w:val="00030B9B"/>
    <w:rsid w:val="0003171C"/>
    <w:rsid w:val="00032344"/>
    <w:rsid w:val="000325B8"/>
    <w:rsid w:val="00033248"/>
    <w:rsid w:val="00034C15"/>
    <w:rsid w:val="00034F7B"/>
    <w:rsid w:val="00036BA1"/>
    <w:rsid w:val="00041C61"/>
    <w:rsid w:val="000422E2"/>
    <w:rsid w:val="00042F22"/>
    <w:rsid w:val="000430BA"/>
    <w:rsid w:val="000444EF"/>
    <w:rsid w:val="00044703"/>
    <w:rsid w:val="00044B53"/>
    <w:rsid w:val="00052A07"/>
    <w:rsid w:val="000534E3"/>
    <w:rsid w:val="00055191"/>
    <w:rsid w:val="0005534F"/>
    <w:rsid w:val="0005606A"/>
    <w:rsid w:val="0005633D"/>
    <w:rsid w:val="00057117"/>
    <w:rsid w:val="000616E7"/>
    <w:rsid w:val="000634F5"/>
    <w:rsid w:val="0006457C"/>
    <w:rsid w:val="0006487E"/>
    <w:rsid w:val="0006597D"/>
    <w:rsid w:val="00065E1A"/>
    <w:rsid w:val="000709B2"/>
    <w:rsid w:val="00070DBC"/>
    <w:rsid w:val="00074A1B"/>
    <w:rsid w:val="00077588"/>
    <w:rsid w:val="00077BFF"/>
    <w:rsid w:val="00077E5F"/>
    <w:rsid w:val="0008024D"/>
    <w:rsid w:val="0008036A"/>
    <w:rsid w:val="00081AE6"/>
    <w:rsid w:val="00081B18"/>
    <w:rsid w:val="00082A69"/>
    <w:rsid w:val="00084072"/>
    <w:rsid w:val="000840A2"/>
    <w:rsid w:val="0008556B"/>
    <w:rsid w:val="000855EB"/>
    <w:rsid w:val="00085B52"/>
    <w:rsid w:val="000860D3"/>
    <w:rsid w:val="000866F2"/>
    <w:rsid w:val="00087250"/>
    <w:rsid w:val="0009009F"/>
    <w:rsid w:val="00090A87"/>
    <w:rsid w:val="00091557"/>
    <w:rsid w:val="000924C1"/>
    <w:rsid w:val="000924F0"/>
    <w:rsid w:val="00093474"/>
    <w:rsid w:val="0009483F"/>
    <w:rsid w:val="0009510F"/>
    <w:rsid w:val="00095A99"/>
    <w:rsid w:val="0009734F"/>
    <w:rsid w:val="000A066A"/>
    <w:rsid w:val="000A1B7B"/>
    <w:rsid w:val="000A3719"/>
    <w:rsid w:val="000A3D1D"/>
    <w:rsid w:val="000A3F3F"/>
    <w:rsid w:val="000A56F2"/>
    <w:rsid w:val="000A7AF4"/>
    <w:rsid w:val="000B03B3"/>
    <w:rsid w:val="000B2719"/>
    <w:rsid w:val="000B3A8F"/>
    <w:rsid w:val="000B4AB9"/>
    <w:rsid w:val="000B58C3"/>
    <w:rsid w:val="000B5C29"/>
    <w:rsid w:val="000B61E9"/>
    <w:rsid w:val="000B6677"/>
    <w:rsid w:val="000C165A"/>
    <w:rsid w:val="000C2E19"/>
    <w:rsid w:val="000C52DA"/>
    <w:rsid w:val="000D0D07"/>
    <w:rsid w:val="000D4797"/>
    <w:rsid w:val="000D7B76"/>
    <w:rsid w:val="000E0527"/>
    <w:rsid w:val="000E0878"/>
    <w:rsid w:val="000E094F"/>
    <w:rsid w:val="000E1E92"/>
    <w:rsid w:val="000E49E1"/>
    <w:rsid w:val="000E7572"/>
    <w:rsid w:val="000F06D6"/>
    <w:rsid w:val="000F0BFD"/>
    <w:rsid w:val="000F0EB1"/>
    <w:rsid w:val="000F1106"/>
    <w:rsid w:val="000F282A"/>
    <w:rsid w:val="000F3BE9"/>
    <w:rsid w:val="000F3F6C"/>
    <w:rsid w:val="000F6DF3"/>
    <w:rsid w:val="000F72AB"/>
    <w:rsid w:val="000F7A60"/>
    <w:rsid w:val="001001C8"/>
    <w:rsid w:val="001005FF"/>
    <w:rsid w:val="00104206"/>
    <w:rsid w:val="001062FB"/>
    <w:rsid w:val="001063E6"/>
    <w:rsid w:val="00106C59"/>
    <w:rsid w:val="00106EDA"/>
    <w:rsid w:val="00112D0E"/>
    <w:rsid w:val="00113CF4"/>
    <w:rsid w:val="001153EA"/>
    <w:rsid w:val="00115643"/>
    <w:rsid w:val="001166D1"/>
    <w:rsid w:val="00116765"/>
    <w:rsid w:val="001219F5"/>
    <w:rsid w:val="00121A20"/>
    <w:rsid w:val="0012377F"/>
    <w:rsid w:val="00124314"/>
    <w:rsid w:val="001258D4"/>
    <w:rsid w:val="00126B4A"/>
    <w:rsid w:val="00132FD0"/>
    <w:rsid w:val="001344C0"/>
    <w:rsid w:val="001346FA"/>
    <w:rsid w:val="00135252"/>
    <w:rsid w:val="00136684"/>
    <w:rsid w:val="00137AB5"/>
    <w:rsid w:val="00137F0B"/>
    <w:rsid w:val="00143BE7"/>
    <w:rsid w:val="001473FB"/>
    <w:rsid w:val="00151E23"/>
    <w:rsid w:val="001526E0"/>
    <w:rsid w:val="001535F0"/>
    <w:rsid w:val="001551B5"/>
    <w:rsid w:val="001559BC"/>
    <w:rsid w:val="00155A47"/>
    <w:rsid w:val="00161A52"/>
    <w:rsid w:val="00161F05"/>
    <w:rsid w:val="00162E1B"/>
    <w:rsid w:val="00162F1F"/>
    <w:rsid w:val="0016473F"/>
    <w:rsid w:val="001659C1"/>
    <w:rsid w:val="001676C8"/>
    <w:rsid w:val="001726BF"/>
    <w:rsid w:val="00172A65"/>
    <w:rsid w:val="00173A8E"/>
    <w:rsid w:val="0017502C"/>
    <w:rsid w:val="00175D4D"/>
    <w:rsid w:val="00177C4C"/>
    <w:rsid w:val="00180F43"/>
    <w:rsid w:val="0018143F"/>
    <w:rsid w:val="00181C3D"/>
    <w:rsid w:val="00181FF8"/>
    <w:rsid w:val="0018439E"/>
    <w:rsid w:val="00190AC1"/>
    <w:rsid w:val="0019341A"/>
    <w:rsid w:val="00195368"/>
    <w:rsid w:val="00195744"/>
    <w:rsid w:val="0019729D"/>
    <w:rsid w:val="00197DF9"/>
    <w:rsid w:val="001A042A"/>
    <w:rsid w:val="001A1987"/>
    <w:rsid w:val="001A2564"/>
    <w:rsid w:val="001A6173"/>
    <w:rsid w:val="001A6394"/>
    <w:rsid w:val="001A6CBA"/>
    <w:rsid w:val="001B0D97"/>
    <w:rsid w:val="001B2E19"/>
    <w:rsid w:val="001B55CF"/>
    <w:rsid w:val="001B5A5D"/>
    <w:rsid w:val="001B762D"/>
    <w:rsid w:val="001C1CE5"/>
    <w:rsid w:val="001C3D2A"/>
    <w:rsid w:val="001C42BE"/>
    <w:rsid w:val="001D0D66"/>
    <w:rsid w:val="001D51BA"/>
    <w:rsid w:val="001D53E7"/>
    <w:rsid w:val="001D54BB"/>
    <w:rsid w:val="001D5C77"/>
    <w:rsid w:val="001D6342"/>
    <w:rsid w:val="001D6A3A"/>
    <w:rsid w:val="001D6D53"/>
    <w:rsid w:val="001D6F8C"/>
    <w:rsid w:val="001D77D8"/>
    <w:rsid w:val="001E182E"/>
    <w:rsid w:val="001E32C0"/>
    <w:rsid w:val="001E5750"/>
    <w:rsid w:val="001E58E2"/>
    <w:rsid w:val="001E5C60"/>
    <w:rsid w:val="001E7AED"/>
    <w:rsid w:val="001F19DC"/>
    <w:rsid w:val="001F3916"/>
    <w:rsid w:val="001F54C5"/>
    <w:rsid w:val="001F662C"/>
    <w:rsid w:val="001F7074"/>
    <w:rsid w:val="001F7CAB"/>
    <w:rsid w:val="00200490"/>
    <w:rsid w:val="00201823"/>
    <w:rsid w:val="00201F3A"/>
    <w:rsid w:val="00202C5E"/>
    <w:rsid w:val="00203F96"/>
    <w:rsid w:val="00206904"/>
    <w:rsid w:val="002069B2"/>
    <w:rsid w:val="002076E9"/>
    <w:rsid w:val="00207FA3"/>
    <w:rsid w:val="00210548"/>
    <w:rsid w:val="002135C5"/>
    <w:rsid w:val="00213F43"/>
    <w:rsid w:val="00214580"/>
    <w:rsid w:val="00214DA8"/>
    <w:rsid w:val="00215423"/>
    <w:rsid w:val="00215697"/>
    <w:rsid w:val="002158FA"/>
    <w:rsid w:val="00217D80"/>
    <w:rsid w:val="00220600"/>
    <w:rsid w:val="00220B5A"/>
    <w:rsid w:val="002224DB"/>
    <w:rsid w:val="00223BF2"/>
    <w:rsid w:val="00223FCB"/>
    <w:rsid w:val="002252C3"/>
    <w:rsid w:val="00225C54"/>
    <w:rsid w:val="00230765"/>
    <w:rsid w:val="00230B6E"/>
    <w:rsid w:val="00230D18"/>
    <w:rsid w:val="0023193C"/>
    <w:rsid w:val="002319E4"/>
    <w:rsid w:val="00232350"/>
    <w:rsid w:val="0023248F"/>
    <w:rsid w:val="00234217"/>
    <w:rsid w:val="00235632"/>
    <w:rsid w:val="00235872"/>
    <w:rsid w:val="00235DC0"/>
    <w:rsid w:val="0023666B"/>
    <w:rsid w:val="00241559"/>
    <w:rsid w:val="00242ABB"/>
    <w:rsid w:val="002435B3"/>
    <w:rsid w:val="002449F8"/>
    <w:rsid w:val="002458EB"/>
    <w:rsid w:val="00245C3B"/>
    <w:rsid w:val="002500C8"/>
    <w:rsid w:val="00252845"/>
    <w:rsid w:val="00252FD7"/>
    <w:rsid w:val="00254C5B"/>
    <w:rsid w:val="00256581"/>
    <w:rsid w:val="00256990"/>
    <w:rsid w:val="00256FF6"/>
    <w:rsid w:val="00257543"/>
    <w:rsid w:val="002603A8"/>
    <w:rsid w:val="002617E7"/>
    <w:rsid w:val="00261811"/>
    <w:rsid w:val="0026346A"/>
    <w:rsid w:val="00264228"/>
    <w:rsid w:val="00264334"/>
    <w:rsid w:val="0026473E"/>
    <w:rsid w:val="00264D9F"/>
    <w:rsid w:val="00265EBB"/>
    <w:rsid w:val="00266214"/>
    <w:rsid w:val="00267354"/>
    <w:rsid w:val="00267C83"/>
    <w:rsid w:val="0027144F"/>
    <w:rsid w:val="00271813"/>
    <w:rsid w:val="00271F3A"/>
    <w:rsid w:val="0027222C"/>
    <w:rsid w:val="00273278"/>
    <w:rsid w:val="002737F4"/>
    <w:rsid w:val="0027664B"/>
    <w:rsid w:val="00277B9E"/>
    <w:rsid w:val="002805F5"/>
    <w:rsid w:val="00280751"/>
    <w:rsid w:val="002807C9"/>
    <w:rsid w:val="0028280A"/>
    <w:rsid w:val="00285B2D"/>
    <w:rsid w:val="00285CBA"/>
    <w:rsid w:val="00286ACD"/>
    <w:rsid w:val="00287838"/>
    <w:rsid w:val="002907B5"/>
    <w:rsid w:val="002911CE"/>
    <w:rsid w:val="00292EB7"/>
    <w:rsid w:val="002933F0"/>
    <w:rsid w:val="002938F4"/>
    <w:rsid w:val="00293F5D"/>
    <w:rsid w:val="00296227"/>
    <w:rsid w:val="002963FD"/>
    <w:rsid w:val="00296F44"/>
    <w:rsid w:val="0029777D"/>
    <w:rsid w:val="002A055E"/>
    <w:rsid w:val="002A1CDB"/>
    <w:rsid w:val="002A1D4E"/>
    <w:rsid w:val="002A2869"/>
    <w:rsid w:val="002A38AF"/>
    <w:rsid w:val="002A3901"/>
    <w:rsid w:val="002A578E"/>
    <w:rsid w:val="002B0E00"/>
    <w:rsid w:val="002B24D6"/>
    <w:rsid w:val="002B4EBC"/>
    <w:rsid w:val="002B68FB"/>
    <w:rsid w:val="002C41E6"/>
    <w:rsid w:val="002C532E"/>
    <w:rsid w:val="002C57CA"/>
    <w:rsid w:val="002C6C64"/>
    <w:rsid w:val="002D00FD"/>
    <w:rsid w:val="002D071A"/>
    <w:rsid w:val="002D28DC"/>
    <w:rsid w:val="002D34B2"/>
    <w:rsid w:val="002D48B0"/>
    <w:rsid w:val="002D5B37"/>
    <w:rsid w:val="002D624A"/>
    <w:rsid w:val="002D7637"/>
    <w:rsid w:val="002E04D9"/>
    <w:rsid w:val="002E0D42"/>
    <w:rsid w:val="002E17F2"/>
    <w:rsid w:val="002E298A"/>
    <w:rsid w:val="002E41D7"/>
    <w:rsid w:val="002E63DC"/>
    <w:rsid w:val="002E6656"/>
    <w:rsid w:val="002E7712"/>
    <w:rsid w:val="002E7940"/>
    <w:rsid w:val="002E7CAE"/>
    <w:rsid w:val="002F0378"/>
    <w:rsid w:val="002F13E4"/>
    <w:rsid w:val="002F2771"/>
    <w:rsid w:val="002F37A9"/>
    <w:rsid w:val="002F449E"/>
    <w:rsid w:val="002F56A7"/>
    <w:rsid w:val="002F5F47"/>
    <w:rsid w:val="002F6729"/>
    <w:rsid w:val="002F6ABF"/>
    <w:rsid w:val="002F7BE5"/>
    <w:rsid w:val="00301CE6"/>
    <w:rsid w:val="0030256B"/>
    <w:rsid w:val="0030306B"/>
    <w:rsid w:val="003034D8"/>
    <w:rsid w:val="00303556"/>
    <w:rsid w:val="0030501F"/>
    <w:rsid w:val="00307311"/>
    <w:rsid w:val="00307BA1"/>
    <w:rsid w:val="00311702"/>
    <w:rsid w:val="00311E82"/>
    <w:rsid w:val="003138DA"/>
    <w:rsid w:val="00313FD6"/>
    <w:rsid w:val="003143BD"/>
    <w:rsid w:val="00314D73"/>
    <w:rsid w:val="00315363"/>
    <w:rsid w:val="00316AF6"/>
    <w:rsid w:val="00320160"/>
    <w:rsid w:val="003203ED"/>
    <w:rsid w:val="00320B9D"/>
    <w:rsid w:val="00322C9F"/>
    <w:rsid w:val="003245EC"/>
    <w:rsid w:val="00324D23"/>
    <w:rsid w:val="003277D9"/>
    <w:rsid w:val="00331751"/>
    <w:rsid w:val="00334579"/>
    <w:rsid w:val="00335858"/>
    <w:rsid w:val="00336BDA"/>
    <w:rsid w:val="003402E6"/>
    <w:rsid w:val="003412D8"/>
    <w:rsid w:val="0034131F"/>
    <w:rsid w:val="00342BD7"/>
    <w:rsid w:val="00344E0F"/>
    <w:rsid w:val="00346DB5"/>
    <w:rsid w:val="003477B1"/>
    <w:rsid w:val="00357380"/>
    <w:rsid w:val="003602D9"/>
    <w:rsid w:val="003604CE"/>
    <w:rsid w:val="00360C2E"/>
    <w:rsid w:val="003636C2"/>
    <w:rsid w:val="00363B56"/>
    <w:rsid w:val="00370B24"/>
    <w:rsid w:val="00370E47"/>
    <w:rsid w:val="00372479"/>
    <w:rsid w:val="00373E22"/>
    <w:rsid w:val="003742AC"/>
    <w:rsid w:val="00375D92"/>
    <w:rsid w:val="00376C5E"/>
    <w:rsid w:val="00376FBF"/>
    <w:rsid w:val="00377CE1"/>
    <w:rsid w:val="003806AE"/>
    <w:rsid w:val="00381D74"/>
    <w:rsid w:val="0038289D"/>
    <w:rsid w:val="003848CD"/>
    <w:rsid w:val="00385B59"/>
    <w:rsid w:val="00385BF0"/>
    <w:rsid w:val="00386A83"/>
    <w:rsid w:val="0039062A"/>
    <w:rsid w:val="003911F1"/>
    <w:rsid w:val="0039170D"/>
    <w:rsid w:val="0039186F"/>
    <w:rsid w:val="00392DE4"/>
    <w:rsid w:val="003939FF"/>
    <w:rsid w:val="003948ED"/>
    <w:rsid w:val="00395E99"/>
    <w:rsid w:val="003A2223"/>
    <w:rsid w:val="003A2A0F"/>
    <w:rsid w:val="003A38BB"/>
    <w:rsid w:val="003A45A1"/>
    <w:rsid w:val="003A4ED4"/>
    <w:rsid w:val="003A5B0A"/>
    <w:rsid w:val="003A6BAC"/>
    <w:rsid w:val="003A70A4"/>
    <w:rsid w:val="003A760F"/>
    <w:rsid w:val="003A790F"/>
    <w:rsid w:val="003A7EF3"/>
    <w:rsid w:val="003B159C"/>
    <w:rsid w:val="003B1E5A"/>
    <w:rsid w:val="003B20E6"/>
    <w:rsid w:val="003B369F"/>
    <w:rsid w:val="003B36A3"/>
    <w:rsid w:val="003B3C73"/>
    <w:rsid w:val="003B4374"/>
    <w:rsid w:val="003B4D81"/>
    <w:rsid w:val="003B64BB"/>
    <w:rsid w:val="003B7FE5"/>
    <w:rsid w:val="003C11C8"/>
    <w:rsid w:val="003C2702"/>
    <w:rsid w:val="003C42A4"/>
    <w:rsid w:val="003C6307"/>
    <w:rsid w:val="003C6BA1"/>
    <w:rsid w:val="003C7076"/>
    <w:rsid w:val="003C7806"/>
    <w:rsid w:val="003D0B61"/>
    <w:rsid w:val="003D1000"/>
    <w:rsid w:val="003D109F"/>
    <w:rsid w:val="003D15D8"/>
    <w:rsid w:val="003D2478"/>
    <w:rsid w:val="003D3C45"/>
    <w:rsid w:val="003D5B1F"/>
    <w:rsid w:val="003D7399"/>
    <w:rsid w:val="003E15FA"/>
    <w:rsid w:val="003E1667"/>
    <w:rsid w:val="003E4DAA"/>
    <w:rsid w:val="003E55E4"/>
    <w:rsid w:val="003E58BA"/>
    <w:rsid w:val="003E5D8B"/>
    <w:rsid w:val="003E74E3"/>
    <w:rsid w:val="003E77A5"/>
    <w:rsid w:val="003F05C7"/>
    <w:rsid w:val="003F15A0"/>
    <w:rsid w:val="003F28A0"/>
    <w:rsid w:val="003F2CD4"/>
    <w:rsid w:val="003F400E"/>
    <w:rsid w:val="003F556E"/>
    <w:rsid w:val="003F6BBE"/>
    <w:rsid w:val="004000E8"/>
    <w:rsid w:val="004012D5"/>
    <w:rsid w:val="00402E2B"/>
    <w:rsid w:val="0040512B"/>
    <w:rsid w:val="00405CA5"/>
    <w:rsid w:val="00407CD3"/>
    <w:rsid w:val="00410134"/>
    <w:rsid w:val="00410B72"/>
    <w:rsid w:val="00410F18"/>
    <w:rsid w:val="00411327"/>
    <w:rsid w:val="0041263E"/>
    <w:rsid w:val="00412919"/>
    <w:rsid w:val="0041357B"/>
    <w:rsid w:val="00413AAC"/>
    <w:rsid w:val="00413E92"/>
    <w:rsid w:val="00421105"/>
    <w:rsid w:val="00422AA4"/>
    <w:rsid w:val="004242F4"/>
    <w:rsid w:val="00427248"/>
    <w:rsid w:val="00427704"/>
    <w:rsid w:val="0043208F"/>
    <w:rsid w:val="00432ECF"/>
    <w:rsid w:val="00433C6A"/>
    <w:rsid w:val="004349C1"/>
    <w:rsid w:val="004359DC"/>
    <w:rsid w:val="004361F8"/>
    <w:rsid w:val="004365D0"/>
    <w:rsid w:val="004372D1"/>
    <w:rsid w:val="00437447"/>
    <w:rsid w:val="004374B1"/>
    <w:rsid w:val="00440DED"/>
    <w:rsid w:val="00441A5D"/>
    <w:rsid w:val="00441A92"/>
    <w:rsid w:val="004431DC"/>
    <w:rsid w:val="00444F56"/>
    <w:rsid w:val="00446488"/>
    <w:rsid w:val="004517AA"/>
    <w:rsid w:val="004519DA"/>
    <w:rsid w:val="00452CAC"/>
    <w:rsid w:val="0045375E"/>
    <w:rsid w:val="00457362"/>
    <w:rsid w:val="00457565"/>
    <w:rsid w:val="00457B71"/>
    <w:rsid w:val="00457CB3"/>
    <w:rsid w:val="0046160A"/>
    <w:rsid w:val="00462955"/>
    <w:rsid w:val="00464689"/>
    <w:rsid w:val="00464DB1"/>
    <w:rsid w:val="004661F1"/>
    <w:rsid w:val="004669E2"/>
    <w:rsid w:val="00470C31"/>
    <w:rsid w:val="00471408"/>
    <w:rsid w:val="00471DE0"/>
    <w:rsid w:val="00472860"/>
    <w:rsid w:val="004734D0"/>
    <w:rsid w:val="00473501"/>
    <w:rsid w:val="0047556B"/>
    <w:rsid w:val="004762B3"/>
    <w:rsid w:val="0047684C"/>
    <w:rsid w:val="00476AC3"/>
    <w:rsid w:val="00477768"/>
    <w:rsid w:val="00480DA8"/>
    <w:rsid w:val="004816BB"/>
    <w:rsid w:val="00481D23"/>
    <w:rsid w:val="00482083"/>
    <w:rsid w:val="004827A0"/>
    <w:rsid w:val="0049143F"/>
    <w:rsid w:val="00491AA9"/>
    <w:rsid w:val="00492B7C"/>
    <w:rsid w:val="00492BC5"/>
    <w:rsid w:val="0049455A"/>
    <w:rsid w:val="004964F1"/>
    <w:rsid w:val="00497574"/>
    <w:rsid w:val="004A16BC"/>
    <w:rsid w:val="004A2B94"/>
    <w:rsid w:val="004A6E54"/>
    <w:rsid w:val="004A764D"/>
    <w:rsid w:val="004B0A95"/>
    <w:rsid w:val="004B3EB8"/>
    <w:rsid w:val="004B3FE7"/>
    <w:rsid w:val="004B411A"/>
    <w:rsid w:val="004B598C"/>
    <w:rsid w:val="004B6F6A"/>
    <w:rsid w:val="004B6FC1"/>
    <w:rsid w:val="004B7C0C"/>
    <w:rsid w:val="004C177A"/>
    <w:rsid w:val="004C2B98"/>
    <w:rsid w:val="004C3898"/>
    <w:rsid w:val="004C4E32"/>
    <w:rsid w:val="004C5568"/>
    <w:rsid w:val="004D36B1"/>
    <w:rsid w:val="004D5F14"/>
    <w:rsid w:val="004D7EBD"/>
    <w:rsid w:val="004E1B57"/>
    <w:rsid w:val="004E2680"/>
    <w:rsid w:val="004E28F9"/>
    <w:rsid w:val="004E2958"/>
    <w:rsid w:val="004E462E"/>
    <w:rsid w:val="004E56DC"/>
    <w:rsid w:val="004E6A17"/>
    <w:rsid w:val="004E76F4"/>
    <w:rsid w:val="004F0B4E"/>
    <w:rsid w:val="004F0B6C"/>
    <w:rsid w:val="004F12FC"/>
    <w:rsid w:val="004F2078"/>
    <w:rsid w:val="004F31AD"/>
    <w:rsid w:val="004F4CF6"/>
    <w:rsid w:val="004F4DA3"/>
    <w:rsid w:val="004F7E0A"/>
    <w:rsid w:val="00500614"/>
    <w:rsid w:val="005013A3"/>
    <w:rsid w:val="0050429E"/>
    <w:rsid w:val="00506557"/>
    <w:rsid w:val="0050677A"/>
    <w:rsid w:val="0050782D"/>
    <w:rsid w:val="005108D8"/>
    <w:rsid w:val="005116F9"/>
    <w:rsid w:val="0051304D"/>
    <w:rsid w:val="005130D7"/>
    <w:rsid w:val="005133E4"/>
    <w:rsid w:val="005153A7"/>
    <w:rsid w:val="00520F15"/>
    <w:rsid w:val="0052125F"/>
    <w:rsid w:val="005219CF"/>
    <w:rsid w:val="00522E6E"/>
    <w:rsid w:val="00522EE0"/>
    <w:rsid w:val="00523975"/>
    <w:rsid w:val="00524B0D"/>
    <w:rsid w:val="00526B34"/>
    <w:rsid w:val="005278E9"/>
    <w:rsid w:val="00530226"/>
    <w:rsid w:val="00533278"/>
    <w:rsid w:val="00534B59"/>
    <w:rsid w:val="00536759"/>
    <w:rsid w:val="00537C62"/>
    <w:rsid w:val="00541FDF"/>
    <w:rsid w:val="00542543"/>
    <w:rsid w:val="00544829"/>
    <w:rsid w:val="0054498C"/>
    <w:rsid w:val="0054514E"/>
    <w:rsid w:val="00546970"/>
    <w:rsid w:val="00551375"/>
    <w:rsid w:val="00553B14"/>
    <w:rsid w:val="005548B7"/>
    <w:rsid w:val="00554E19"/>
    <w:rsid w:val="00556F3B"/>
    <w:rsid w:val="0056121F"/>
    <w:rsid w:val="005637C1"/>
    <w:rsid w:val="005640F2"/>
    <w:rsid w:val="00564439"/>
    <w:rsid w:val="005661C7"/>
    <w:rsid w:val="005665B6"/>
    <w:rsid w:val="00567782"/>
    <w:rsid w:val="00572397"/>
    <w:rsid w:val="00572505"/>
    <w:rsid w:val="00581F3F"/>
    <w:rsid w:val="00582809"/>
    <w:rsid w:val="00584F8C"/>
    <w:rsid w:val="00585381"/>
    <w:rsid w:val="005855C0"/>
    <w:rsid w:val="00586AE1"/>
    <w:rsid w:val="00586FCB"/>
    <w:rsid w:val="00587160"/>
    <w:rsid w:val="0058798C"/>
    <w:rsid w:val="005900FA"/>
    <w:rsid w:val="005935A4"/>
    <w:rsid w:val="005948C2"/>
    <w:rsid w:val="00595DCA"/>
    <w:rsid w:val="00596403"/>
    <w:rsid w:val="0059664C"/>
    <w:rsid w:val="00596ACF"/>
    <w:rsid w:val="0059779B"/>
    <w:rsid w:val="005A209A"/>
    <w:rsid w:val="005A2EAE"/>
    <w:rsid w:val="005A3E51"/>
    <w:rsid w:val="005A4EA5"/>
    <w:rsid w:val="005A5F7C"/>
    <w:rsid w:val="005A60D0"/>
    <w:rsid w:val="005A662D"/>
    <w:rsid w:val="005A7BA4"/>
    <w:rsid w:val="005B0C45"/>
    <w:rsid w:val="005B1409"/>
    <w:rsid w:val="005B145B"/>
    <w:rsid w:val="005B2109"/>
    <w:rsid w:val="005B35D7"/>
    <w:rsid w:val="005B392A"/>
    <w:rsid w:val="005B3AA3"/>
    <w:rsid w:val="005B4EBA"/>
    <w:rsid w:val="005B6F83"/>
    <w:rsid w:val="005C0A62"/>
    <w:rsid w:val="005C0FF0"/>
    <w:rsid w:val="005C21CC"/>
    <w:rsid w:val="005C2A1E"/>
    <w:rsid w:val="005C560F"/>
    <w:rsid w:val="005C5A69"/>
    <w:rsid w:val="005C74FB"/>
    <w:rsid w:val="005D0639"/>
    <w:rsid w:val="005D1602"/>
    <w:rsid w:val="005D3279"/>
    <w:rsid w:val="005D433A"/>
    <w:rsid w:val="005D74F7"/>
    <w:rsid w:val="005D766A"/>
    <w:rsid w:val="005D7AFA"/>
    <w:rsid w:val="005E385F"/>
    <w:rsid w:val="005E5B81"/>
    <w:rsid w:val="005E5CB6"/>
    <w:rsid w:val="005E63BB"/>
    <w:rsid w:val="005E6CDE"/>
    <w:rsid w:val="005E77A5"/>
    <w:rsid w:val="005F1144"/>
    <w:rsid w:val="005F2CB1"/>
    <w:rsid w:val="005F3025"/>
    <w:rsid w:val="005F585F"/>
    <w:rsid w:val="005F618C"/>
    <w:rsid w:val="005F6506"/>
    <w:rsid w:val="005F70BD"/>
    <w:rsid w:val="0060093C"/>
    <w:rsid w:val="00600DAE"/>
    <w:rsid w:val="00600F45"/>
    <w:rsid w:val="0060163F"/>
    <w:rsid w:val="00602741"/>
    <w:rsid w:val="0060283C"/>
    <w:rsid w:val="00604F14"/>
    <w:rsid w:val="006061D7"/>
    <w:rsid w:val="006114C1"/>
    <w:rsid w:val="006116EA"/>
    <w:rsid w:val="00611B83"/>
    <w:rsid w:val="0061260F"/>
    <w:rsid w:val="00612DF1"/>
    <w:rsid w:val="00613257"/>
    <w:rsid w:val="00620A71"/>
    <w:rsid w:val="00620C26"/>
    <w:rsid w:val="00620D80"/>
    <w:rsid w:val="006234A6"/>
    <w:rsid w:val="00626C7E"/>
    <w:rsid w:val="00630001"/>
    <w:rsid w:val="006302FB"/>
    <w:rsid w:val="006311B3"/>
    <w:rsid w:val="0063284C"/>
    <w:rsid w:val="006330BC"/>
    <w:rsid w:val="0063349B"/>
    <w:rsid w:val="00636398"/>
    <w:rsid w:val="006368D3"/>
    <w:rsid w:val="00636F83"/>
    <w:rsid w:val="006377D9"/>
    <w:rsid w:val="006377EC"/>
    <w:rsid w:val="0064151F"/>
    <w:rsid w:val="00641533"/>
    <w:rsid w:val="0064208D"/>
    <w:rsid w:val="00642139"/>
    <w:rsid w:val="00643475"/>
    <w:rsid w:val="0064396A"/>
    <w:rsid w:val="0064601B"/>
    <w:rsid w:val="0064624E"/>
    <w:rsid w:val="00650AB9"/>
    <w:rsid w:val="006533FC"/>
    <w:rsid w:val="00653468"/>
    <w:rsid w:val="0065525C"/>
    <w:rsid w:val="00655733"/>
    <w:rsid w:val="00655ACD"/>
    <w:rsid w:val="00656A92"/>
    <w:rsid w:val="00656DDE"/>
    <w:rsid w:val="0066011D"/>
    <w:rsid w:val="0066053A"/>
    <w:rsid w:val="006607C0"/>
    <w:rsid w:val="006613A6"/>
    <w:rsid w:val="006627A2"/>
    <w:rsid w:val="006634E6"/>
    <w:rsid w:val="00663FA8"/>
    <w:rsid w:val="006655EE"/>
    <w:rsid w:val="0066599E"/>
    <w:rsid w:val="00666425"/>
    <w:rsid w:val="00667E5E"/>
    <w:rsid w:val="00667EE7"/>
    <w:rsid w:val="00670922"/>
    <w:rsid w:val="00670BE1"/>
    <w:rsid w:val="0067218F"/>
    <w:rsid w:val="006729DF"/>
    <w:rsid w:val="00672F1E"/>
    <w:rsid w:val="006741F2"/>
    <w:rsid w:val="00674CC3"/>
    <w:rsid w:val="00675C72"/>
    <w:rsid w:val="006771F9"/>
    <w:rsid w:val="006776D7"/>
    <w:rsid w:val="00681003"/>
    <w:rsid w:val="006817C9"/>
    <w:rsid w:val="00683171"/>
    <w:rsid w:val="00683A15"/>
    <w:rsid w:val="00683ECE"/>
    <w:rsid w:val="006917CF"/>
    <w:rsid w:val="006946D8"/>
    <w:rsid w:val="00695FC2"/>
    <w:rsid w:val="00696949"/>
    <w:rsid w:val="00697052"/>
    <w:rsid w:val="006A191A"/>
    <w:rsid w:val="006A23A2"/>
    <w:rsid w:val="006A2F08"/>
    <w:rsid w:val="006A46FB"/>
    <w:rsid w:val="006A5E28"/>
    <w:rsid w:val="006A654D"/>
    <w:rsid w:val="006A697B"/>
    <w:rsid w:val="006A7AFF"/>
    <w:rsid w:val="006B0137"/>
    <w:rsid w:val="006B05F5"/>
    <w:rsid w:val="006B1816"/>
    <w:rsid w:val="006B2099"/>
    <w:rsid w:val="006B2DF3"/>
    <w:rsid w:val="006B50CF"/>
    <w:rsid w:val="006C00BE"/>
    <w:rsid w:val="006C03B8"/>
    <w:rsid w:val="006C2F26"/>
    <w:rsid w:val="006C4E30"/>
    <w:rsid w:val="006C5D82"/>
    <w:rsid w:val="006C5EC9"/>
    <w:rsid w:val="006C6059"/>
    <w:rsid w:val="006C6D28"/>
    <w:rsid w:val="006C7522"/>
    <w:rsid w:val="006D292A"/>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98"/>
    <w:rsid w:val="006F22AF"/>
    <w:rsid w:val="006F299F"/>
    <w:rsid w:val="006F341D"/>
    <w:rsid w:val="006F3CDE"/>
    <w:rsid w:val="006F5186"/>
    <w:rsid w:val="006F581A"/>
    <w:rsid w:val="006F58D4"/>
    <w:rsid w:val="006F608E"/>
    <w:rsid w:val="006F6582"/>
    <w:rsid w:val="006F7500"/>
    <w:rsid w:val="006F7E4B"/>
    <w:rsid w:val="0070214A"/>
    <w:rsid w:val="00702869"/>
    <w:rsid w:val="00703222"/>
    <w:rsid w:val="0070346E"/>
    <w:rsid w:val="00704400"/>
    <w:rsid w:val="00704EDB"/>
    <w:rsid w:val="00706101"/>
    <w:rsid w:val="00707072"/>
    <w:rsid w:val="00707D61"/>
    <w:rsid w:val="00710913"/>
    <w:rsid w:val="00710E26"/>
    <w:rsid w:val="00712287"/>
    <w:rsid w:val="00712471"/>
    <w:rsid w:val="00712772"/>
    <w:rsid w:val="007148D3"/>
    <w:rsid w:val="00715B9A"/>
    <w:rsid w:val="00716F0D"/>
    <w:rsid w:val="00717EE0"/>
    <w:rsid w:val="00721B32"/>
    <w:rsid w:val="007222E6"/>
    <w:rsid w:val="007257D0"/>
    <w:rsid w:val="00726EA6"/>
    <w:rsid w:val="00727201"/>
    <w:rsid w:val="00727208"/>
    <w:rsid w:val="00727680"/>
    <w:rsid w:val="0073329D"/>
    <w:rsid w:val="007348B1"/>
    <w:rsid w:val="007350AC"/>
    <w:rsid w:val="007362A6"/>
    <w:rsid w:val="00736D7D"/>
    <w:rsid w:val="00740076"/>
    <w:rsid w:val="00740E58"/>
    <w:rsid w:val="007424F6"/>
    <w:rsid w:val="00742A84"/>
    <w:rsid w:val="007445A0"/>
    <w:rsid w:val="00744B1A"/>
    <w:rsid w:val="0074524B"/>
    <w:rsid w:val="00747BA1"/>
    <w:rsid w:val="00747D8B"/>
    <w:rsid w:val="00751228"/>
    <w:rsid w:val="00751678"/>
    <w:rsid w:val="00753073"/>
    <w:rsid w:val="00754561"/>
    <w:rsid w:val="007550A4"/>
    <w:rsid w:val="007571E1"/>
    <w:rsid w:val="00757CB9"/>
    <w:rsid w:val="007604B2"/>
    <w:rsid w:val="00760703"/>
    <w:rsid w:val="0076159B"/>
    <w:rsid w:val="00761E1D"/>
    <w:rsid w:val="00762C84"/>
    <w:rsid w:val="00764EF2"/>
    <w:rsid w:val="00765281"/>
    <w:rsid w:val="00766BAD"/>
    <w:rsid w:val="00767B2E"/>
    <w:rsid w:val="007729A2"/>
    <w:rsid w:val="007738A5"/>
    <w:rsid w:val="00774E2D"/>
    <w:rsid w:val="0077548E"/>
    <w:rsid w:val="007755F2"/>
    <w:rsid w:val="00775995"/>
    <w:rsid w:val="00776971"/>
    <w:rsid w:val="00780A80"/>
    <w:rsid w:val="00781435"/>
    <w:rsid w:val="0078169B"/>
    <w:rsid w:val="0078177E"/>
    <w:rsid w:val="007824F5"/>
    <w:rsid w:val="0078304C"/>
    <w:rsid w:val="00783673"/>
    <w:rsid w:val="00783BD1"/>
    <w:rsid w:val="00785490"/>
    <w:rsid w:val="00787105"/>
    <w:rsid w:val="0079093C"/>
    <w:rsid w:val="007925EA"/>
    <w:rsid w:val="007928DD"/>
    <w:rsid w:val="00793765"/>
    <w:rsid w:val="00793CD8"/>
    <w:rsid w:val="00794552"/>
    <w:rsid w:val="007950DB"/>
    <w:rsid w:val="00795C92"/>
    <w:rsid w:val="00796231"/>
    <w:rsid w:val="00796BE5"/>
    <w:rsid w:val="00797173"/>
    <w:rsid w:val="007A128A"/>
    <w:rsid w:val="007A1CB3"/>
    <w:rsid w:val="007A306F"/>
    <w:rsid w:val="007A43A6"/>
    <w:rsid w:val="007A44B6"/>
    <w:rsid w:val="007A4ED9"/>
    <w:rsid w:val="007A58A6"/>
    <w:rsid w:val="007B0226"/>
    <w:rsid w:val="007B0FBF"/>
    <w:rsid w:val="007B20A2"/>
    <w:rsid w:val="007B2399"/>
    <w:rsid w:val="007B23C8"/>
    <w:rsid w:val="007B23E1"/>
    <w:rsid w:val="007B3BA7"/>
    <w:rsid w:val="007B3D2D"/>
    <w:rsid w:val="007B50AE"/>
    <w:rsid w:val="007B51DF"/>
    <w:rsid w:val="007B5FF2"/>
    <w:rsid w:val="007B65A6"/>
    <w:rsid w:val="007B78B1"/>
    <w:rsid w:val="007C00E2"/>
    <w:rsid w:val="007C05DD"/>
    <w:rsid w:val="007C3D18"/>
    <w:rsid w:val="007C45F9"/>
    <w:rsid w:val="007C5582"/>
    <w:rsid w:val="007C55ED"/>
    <w:rsid w:val="007C5E30"/>
    <w:rsid w:val="007C60BF"/>
    <w:rsid w:val="007C64CE"/>
    <w:rsid w:val="007C6A07"/>
    <w:rsid w:val="007C6AA6"/>
    <w:rsid w:val="007C75A1"/>
    <w:rsid w:val="007C77A5"/>
    <w:rsid w:val="007D0277"/>
    <w:rsid w:val="007D04E5"/>
    <w:rsid w:val="007D4A14"/>
    <w:rsid w:val="007D5901"/>
    <w:rsid w:val="007D5FAD"/>
    <w:rsid w:val="007D7526"/>
    <w:rsid w:val="007E3A68"/>
    <w:rsid w:val="007E439F"/>
    <w:rsid w:val="007E4610"/>
    <w:rsid w:val="007E4715"/>
    <w:rsid w:val="007E505B"/>
    <w:rsid w:val="007E65ED"/>
    <w:rsid w:val="007E7091"/>
    <w:rsid w:val="007F0D3F"/>
    <w:rsid w:val="007F1BE5"/>
    <w:rsid w:val="007F24FD"/>
    <w:rsid w:val="007F5602"/>
    <w:rsid w:val="007F694E"/>
    <w:rsid w:val="00803FAE"/>
    <w:rsid w:val="00804020"/>
    <w:rsid w:val="00805F14"/>
    <w:rsid w:val="0080605F"/>
    <w:rsid w:val="00806B5C"/>
    <w:rsid w:val="00807786"/>
    <w:rsid w:val="00810500"/>
    <w:rsid w:val="008107F4"/>
    <w:rsid w:val="00811FCB"/>
    <w:rsid w:val="00814167"/>
    <w:rsid w:val="00814544"/>
    <w:rsid w:val="008158D6"/>
    <w:rsid w:val="00817196"/>
    <w:rsid w:val="00817D50"/>
    <w:rsid w:val="00820CCA"/>
    <w:rsid w:val="00821B64"/>
    <w:rsid w:val="008226DD"/>
    <w:rsid w:val="008235DB"/>
    <w:rsid w:val="00824AB4"/>
    <w:rsid w:val="00825C42"/>
    <w:rsid w:val="00825D25"/>
    <w:rsid w:val="00827B7D"/>
    <w:rsid w:val="00827D6F"/>
    <w:rsid w:val="008314F2"/>
    <w:rsid w:val="0083244A"/>
    <w:rsid w:val="00834D8C"/>
    <w:rsid w:val="008376AC"/>
    <w:rsid w:val="008431F2"/>
    <w:rsid w:val="00843743"/>
    <w:rsid w:val="00843D56"/>
    <w:rsid w:val="008444E8"/>
    <w:rsid w:val="00844AF6"/>
    <w:rsid w:val="00844E80"/>
    <w:rsid w:val="008450B5"/>
    <w:rsid w:val="00846FE7"/>
    <w:rsid w:val="00847062"/>
    <w:rsid w:val="008553C7"/>
    <w:rsid w:val="00856911"/>
    <w:rsid w:val="00856F34"/>
    <w:rsid w:val="008602C7"/>
    <w:rsid w:val="00860C7F"/>
    <w:rsid w:val="00861556"/>
    <w:rsid w:val="008625B1"/>
    <w:rsid w:val="00862C67"/>
    <w:rsid w:val="00865A9E"/>
    <w:rsid w:val="008677FD"/>
    <w:rsid w:val="008706D4"/>
    <w:rsid w:val="00870F8A"/>
    <w:rsid w:val="008719A4"/>
    <w:rsid w:val="00871D23"/>
    <w:rsid w:val="008720EE"/>
    <w:rsid w:val="00872D34"/>
    <w:rsid w:val="00874312"/>
    <w:rsid w:val="0087437C"/>
    <w:rsid w:val="00875CD7"/>
    <w:rsid w:val="00876B4D"/>
    <w:rsid w:val="00877F18"/>
    <w:rsid w:val="00881AC7"/>
    <w:rsid w:val="00882B66"/>
    <w:rsid w:val="00885C9B"/>
    <w:rsid w:val="008878A2"/>
    <w:rsid w:val="00891C4F"/>
    <w:rsid w:val="00892133"/>
    <w:rsid w:val="008941E3"/>
    <w:rsid w:val="00894A88"/>
    <w:rsid w:val="00895386"/>
    <w:rsid w:val="00896394"/>
    <w:rsid w:val="00897256"/>
    <w:rsid w:val="008A1577"/>
    <w:rsid w:val="008A21FF"/>
    <w:rsid w:val="008A2CE2"/>
    <w:rsid w:val="008A30AC"/>
    <w:rsid w:val="008A4424"/>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9E0"/>
    <w:rsid w:val="008D6D1A"/>
    <w:rsid w:val="008E065E"/>
    <w:rsid w:val="008E0927"/>
    <w:rsid w:val="008E1909"/>
    <w:rsid w:val="008E23FB"/>
    <w:rsid w:val="008E2D36"/>
    <w:rsid w:val="008E4CBF"/>
    <w:rsid w:val="008E7E5F"/>
    <w:rsid w:val="008F0036"/>
    <w:rsid w:val="008F0F40"/>
    <w:rsid w:val="008F17C1"/>
    <w:rsid w:val="008F1C4E"/>
    <w:rsid w:val="008F1EAB"/>
    <w:rsid w:val="008F33DC"/>
    <w:rsid w:val="008F43B7"/>
    <w:rsid w:val="008F477F"/>
    <w:rsid w:val="008F4A4B"/>
    <w:rsid w:val="008F6858"/>
    <w:rsid w:val="008F7755"/>
    <w:rsid w:val="00901CF2"/>
    <w:rsid w:val="00902350"/>
    <w:rsid w:val="0090336B"/>
    <w:rsid w:val="009053AA"/>
    <w:rsid w:val="00906939"/>
    <w:rsid w:val="009100F1"/>
    <w:rsid w:val="00910B7D"/>
    <w:rsid w:val="00910E87"/>
    <w:rsid w:val="009117F7"/>
    <w:rsid w:val="00911AA0"/>
    <w:rsid w:val="00911CB0"/>
    <w:rsid w:val="00911DFB"/>
    <w:rsid w:val="009139D9"/>
    <w:rsid w:val="00913C86"/>
    <w:rsid w:val="00914A48"/>
    <w:rsid w:val="00914AD8"/>
    <w:rsid w:val="0091543C"/>
    <w:rsid w:val="00916079"/>
    <w:rsid w:val="00917CE9"/>
    <w:rsid w:val="0092075B"/>
    <w:rsid w:val="00920BF2"/>
    <w:rsid w:val="00921B33"/>
    <w:rsid w:val="00922010"/>
    <w:rsid w:val="00927244"/>
    <w:rsid w:val="00927420"/>
    <w:rsid w:val="00930EA4"/>
    <w:rsid w:val="00931BD9"/>
    <w:rsid w:val="00932895"/>
    <w:rsid w:val="009368F3"/>
    <w:rsid w:val="00936ED2"/>
    <w:rsid w:val="0093745C"/>
    <w:rsid w:val="0093778B"/>
    <w:rsid w:val="00941636"/>
    <w:rsid w:val="0094199D"/>
    <w:rsid w:val="00943742"/>
    <w:rsid w:val="009439F2"/>
    <w:rsid w:val="00943B70"/>
    <w:rsid w:val="00944DDC"/>
    <w:rsid w:val="00945C05"/>
    <w:rsid w:val="00946945"/>
    <w:rsid w:val="00946F8D"/>
    <w:rsid w:val="00947713"/>
    <w:rsid w:val="00950DE7"/>
    <w:rsid w:val="00951429"/>
    <w:rsid w:val="00953920"/>
    <w:rsid w:val="009539EA"/>
    <w:rsid w:val="00953D47"/>
    <w:rsid w:val="009552E3"/>
    <w:rsid w:val="0095633E"/>
    <w:rsid w:val="0095681E"/>
    <w:rsid w:val="00956F34"/>
    <w:rsid w:val="009572D4"/>
    <w:rsid w:val="00957987"/>
    <w:rsid w:val="009603D3"/>
    <w:rsid w:val="00961921"/>
    <w:rsid w:val="009620E9"/>
    <w:rsid w:val="0096430A"/>
    <w:rsid w:val="009652B6"/>
    <w:rsid w:val="0096554B"/>
    <w:rsid w:val="0096584A"/>
    <w:rsid w:val="009668CC"/>
    <w:rsid w:val="00967E15"/>
    <w:rsid w:val="00967EA2"/>
    <w:rsid w:val="00971F08"/>
    <w:rsid w:val="0097361E"/>
    <w:rsid w:val="00973856"/>
    <w:rsid w:val="009750F7"/>
    <w:rsid w:val="009753CC"/>
    <w:rsid w:val="00975678"/>
    <w:rsid w:val="0097603D"/>
    <w:rsid w:val="00976949"/>
    <w:rsid w:val="00980477"/>
    <w:rsid w:val="00980AEA"/>
    <w:rsid w:val="0098440E"/>
    <w:rsid w:val="009849B6"/>
    <w:rsid w:val="00984D1E"/>
    <w:rsid w:val="00985253"/>
    <w:rsid w:val="009853B3"/>
    <w:rsid w:val="00986689"/>
    <w:rsid w:val="009870B6"/>
    <w:rsid w:val="00990630"/>
    <w:rsid w:val="00991761"/>
    <w:rsid w:val="00992184"/>
    <w:rsid w:val="0099259D"/>
    <w:rsid w:val="00994DCA"/>
    <w:rsid w:val="009960EC"/>
    <w:rsid w:val="00996234"/>
    <w:rsid w:val="009970DD"/>
    <w:rsid w:val="009974A9"/>
    <w:rsid w:val="009A08EE"/>
    <w:rsid w:val="009A0FBA"/>
    <w:rsid w:val="009A1601"/>
    <w:rsid w:val="009A1635"/>
    <w:rsid w:val="009A29E9"/>
    <w:rsid w:val="009A3BB6"/>
    <w:rsid w:val="009A40AD"/>
    <w:rsid w:val="009A462D"/>
    <w:rsid w:val="009A5CBA"/>
    <w:rsid w:val="009A67D8"/>
    <w:rsid w:val="009B0C04"/>
    <w:rsid w:val="009B1262"/>
    <w:rsid w:val="009B1F30"/>
    <w:rsid w:val="009B23C5"/>
    <w:rsid w:val="009B2D9F"/>
    <w:rsid w:val="009B3AC2"/>
    <w:rsid w:val="009B4DF4"/>
    <w:rsid w:val="009B564E"/>
    <w:rsid w:val="009B685F"/>
    <w:rsid w:val="009B7E87"/>
    <w:rsid w:val="009C0169"/>
    <w:rsid w:val="009C1202"/>
    <w:rsid w:val="009C403E"/>
    <w:rsid w:val="009C5F0C"/>
    <w:rsid w:val="009C6500"/>
    <w:rsid w:val="009C66C0"/>
    <w:rsid w:val="009D22F1"/>
    <w:rsid w:val="009D2888"/>
    <w:rsid w:val="009D43D0"/>
    <w:rsid w:val="009D4B97"/>
    <w:rsid w:val="009D4FF0"/>
    <w:rsid w:val="009D58A7"/>
    <w:rsid w:val="009D703C"/>
    <w:rsid w:val="009D718F"/>
    <w:rsid w:val="009E068F"/>
    <w:rsid w:val="009E14E0"/>
    <w:rsid w:val="009E35DB"/>
    <w:rsid w:val="009E47A3"/>
    <w:rsid w:val="009F08F3"/>
    <w:rsid w:val="009F344F"/>
    <w:rsid w:val="009F354A"/>
    <w:rsid w:val="009F63EB"/>
    <w:rsid w:val="009F6563"/>
    <w:rsid w:val="00A005B2"/>
    <w:rsid w:val="00A01CC2"/>
    <w:rsid w:val="00A031D8"/>
    <w:rsid w:val="00A03456"/>
    <w:rsid w:val="00A03D4B"/>
    <w:rsid w:val="00A03F61"/>
    <w:rsid w:val="00A048A8"/>
    <w:rsid w:val="00A04F49"/>
    <w:rsid w:val="00A05077"/>
    <w:rsid w:val="00A06AA8"/>
    <w:rsid w:val="00A079E4"/>
    <w:rsid w:val="00A07ABC"/>
    <w:rsid w:val="00A133D4"/>
    <w:rsid w:val="00A13E54"/>
    <w:rsid w:val="00A13E85"/>
    <w:rsid w:val="00A14B9B"/>
    <w:rsid w:val="00A14FAC"/>
    <w:rsid w:val="00A15E17"/>
    <w:rsid w:val="00A1671F"/>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0D54"/>
    <w:rsid w:val="00A41E2B"/>
    <w:rsid w:val="00A43750"/>
    <w:rsid w:val="00A45B74"/>
    <w:rsid w:val="00A469FB"/>
    <w:rsid w:val="00A504E0"/>
    <w:rsid w:val="00A52E1D"/>
    <w:rsid w:val="00A54FCD"/>
    <w:rsid w:val="00A55F7E"/>
    <w:rsid w:val="00A60E05"/>
    <w:rsid w:val="00A61499"/>
    <w:rsid w:val="00A62A77"/>
    <w:rsid w:val="00A63483"/>
    <w:rsid w:val="00A657D7"/>
    <w:rsid w:val="00A6608A"/>
    <w:rsid w:val="00A660AC"/>
    <w:rsid w:val="00A67403"/>
    <w:rsid w:val="00A67E6C"/>
    <w:rsid w:val="00A719A8"/>
    <w:rsid w:val="00A71B99"/>
    <w:rsid w:val="00A739D0"/>
    <w:rsid w:val="00A73F3E"/>
    <w:rsid w:val="00A74AB0"/>
    <w:rsid w:val="00A761D4"/>
    <w:rsid w:val="00A77229"/>
    <w:rsid w:val="00A77EC4"/>
    <w:rsid w:val="00A8411D"/>
    <w:rsid w:val="00A842F9"/>
    <w:rsid w:val="00A845E3"/>
    <w:rsid w:val="00A85D00"/>
    <w:rsid w:val="00A87B64"/>
    <w:rsid w:val="00A92879"/>
    <w:rsid w:val="00A93AB2"/>
    <w:rsid w:val="00A9442A"/>
    <w:rsid w:val="00A9495C"/>
    <w:rsid w:val="00A94AFD"/>
    <w:rsid w:val="00A950B2"/>
    <w:rsid w:val="00A951FA"/>
    <w:rsid w:val="00A96890"/>
    <w:rsid w:val="00A9756F"/>
    <w:rsid w:val="00AA016F"/>
    <w:rsid w:val="00AA1ED6"/>
    <w:rsid w:val="00AA4305"/>
    <w:rsid w:val="00AA51D6"/>
    <w:rsid w:val="00AA71FD"/>
    <w:rsid w:val="00AB0BC8"/>
    <w:rsid w:val="00AB11CA"/>
    <w:rsid w:val="00AB14D9"/>
    <w:rsid w:val="00AB1916"/>
    <w:rsid w:val="00AB31C3"/>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F94"/>
    <w:rsid w:val="00AD4A5A"/>
    <w:rsid w:val="00AD5694"/>
    <w:rsid w:val="00AD737D"/>
    <w:rsid w:val="00AE04E8"/>
    <w:rsid w:val="00AE0C35"/>
    <w:rsid w:val="00AE27AC"/>
    <w:rsid w:val="00AE3083"/>
    <w:rsid w:val="00AE40E0"/>
    <w:rsid w:val="00AE4DBA"/>
    <w:rsid w:val="00AE4F07"/>
    <w:rsid w:val="00AF1C5D"/>
    <w:rsid w:val="00AF1D4C"/>
    <w:rsid w:val="00AF217B"/>
    <w:rsid w:val="00AF397D"/>
    <w:rsid w:val="00AF42D7"/>
    <w:rsid w:val="00AF4E60"/>
    <w:rsid w:val="00B006FE"/>
    <w:rsid w:val="00B007CB"/>
    <w:rsid w:val="00B01CB9"/>
    <w:rsid w:val="00B02AA9"/>
    <w:rsid w:val="00B02FA3"/>
    <w:rsid w:val="00B03416"/>
    <w:rsid w:val="00B05084"/>
    <w:rsid w:val="00B05C1D"/>
    <w:rsid w:val="00B10AB8"/>
    <w:rsid w:val="00B11625"/>
    <w:rsid w:val="00B1262C"/>
    <w:rsid w:val="00B1390A"/>
    <w:rsid w:val="00B1435E"/>
    <w:rsid w:val="00B157F9"/>
    <w:rsid w:val="00B16314"/>
    <w:rsid w:val="00B1719F"/>
    <w:rsid w:val="00B20256"/>
    <w:rsid w:val="00B20D09"/>
    <w:rsid w:val="00B21C9C"/>
    <w:rsid w:val="00B229DA"/>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382"/>
    <w:rsid w:val="00B41888"/>
    <w:rsid w:val="00B433B6"/>
    <w:rsid w:val="00B45A52"/>
    <w:rsid w:val="00B46175"/>
    <w:rsid w:val="00B51828"/>
    <w:rsid w:val="00B5359C"/>
    <w:rsid w:val="00B548B7"/>
    <w:rsid w:val="00B5618A"/>
    <w:rsid w:val="00B61630"/>
    <w:rsid w:val="00B624A7"/>
    <w:rsid w:val="00B62BB8"/>
    <w:rsid w:val="00B64407"/>
    <w:rsid w:val="00B664C7"/>
    <w:rsid w:val="00B6747D"/>
    <w:rsid w:val="00B674A0"/>
    <w:rsid w:val="00B70235"/>
    <w:rsid w:val="00B713D8"/>
    <w:rsid w:val="00B73802"/>
    <w:rsid w:val="00B739F6"/>
    <w:rsid w:val="00B74E2A"/>
    <w:rsid w:val="00B76029"/>
    <w:rsid w:val="00B80C98"/>
    <w:rsid w:val="00B80D1C"/>
    <w:rsid w:val="00B81A6C"/>
    <w:rsid w:val="00B83390"/>
    <w:rsid w:val="00B83D5B"/>
    <w:rsid w:val="00B85728"/>
    <w:rsid w:val="00B85DE5"/>
    <w:rsid w:val="00B90F73"/>
    <w:rsid w:val="00B93B59"/>
    <w:rsid w:val="00B9406A"/>
    <w:rsid w:val="00B95005"/>
    <w:rsid w:val="00B96693"/>
    <w:rsid w:val="00BA2280"/>
    <w:rsid w:val="00BA2A08"/>
    <w:rsid w:val="00BA3972"/>
    <w:rsid w:val="00BA3D9C"/>
    <w:rsid w:val="00BA56D2"/>
    <w:rsid w:val="00BA76E0"/>
    <w:rsid w:val="00BB1975"/>
    <w:rsid w:val="00BB25C7"/>
    <w:rsid w:val="00BB2A25"/>
    <w:rsid w:val="00BB42D4"/>
    <w:rsid w:val="00BB51E9"/>
    <w:rsid w:val="00BB6A4E"/>
    <w:rsid w:val="00BC05C5"/>
    <w:rsid w:val="00BC0FDC"/>
    <w:rsid w:val="00BC1EFC"/>
    <w:rsid w:val="00BC2246"/>
    <w:rsid w:val="00BC2B8F"/>
    <w:rsid w:val="00BC3053"/>
    <w:rsid w:val="00BC44CD"/>
    <w:rsid w:val="00BC4D2E"/>
    <w:rsid w:val="00BC5648"/>
    <w:rsid w:val="00BC6C61"/>
    <w:rsid w:val="00BD1916"/>
    <w:rsid w:val="00BD48AC"/>
    <w:rsid w:val="00BD5F1A"/>
    <w:rsid w:val="00BD6904"/>
    <w:rsid w:val="00BD7915"/>
    <w:rsid w:val="00BE0A23"/>
    <w:rsid w:val="00BE0C49"/>
    <w:rsid w:val="00BE1234"/>
    <w:rsid w:val="00BE24F3"/>
    <w:rsid w:val="00BE2FA6"/>
    <w:rsid w:val="00BE333F"/>
    <w:rsid w:val="00BE7406"/>
    <w:rsid w:val="00BE7449"/>
    <w:rsid w:val="00BE7603"/>
    <w:rsid w:val="00BF0974"/>
    <w:rsid w:val="00BF2A6D"/>
    <w:rsid w:val="00BF3279"/>
    <w:rsid w:val="00BF349E"/>
    <w:rsid w:val="00BF5230"/>
    <w:rsid w:val="00BF564D"/>
    <w:rsid w:val="00BF6FEC"/>
    <w:rsid w:val="00BF74C7"/>
    <w:rsid w:val="00C0014D"/>
    <w:rsid w:val="00C015F1"/>
    <w:rsid w:val="00C01F33"/>
    <w:rsid w:val="00C02CC6"/>
    <w:rsid w:val="00C02DD0"/>
    <w:rsid w:val="00C037C0"/>
    <w:rsid w:val="00C03E7B"/>
    <w:rsid w:val="00C040F7"/>
    <w:rsid w:val="00C044AB"/>
    <w:rsid w:val="00C049FB"/>
    <w:rsid w:val="00C05706"/>
    <w:rsid w:val="00C05F52"/>
    <w:rsid w:val="00C06837"/>
    <w:rsid w:val="00C0713F"/>
    <w:rsid w:val="00C07377"/>
    <w:rsid w:val="00C07BF4"/>
    <w:rsid w:val="00C10478"/>
    <w:rsid w:val="00C12107"/>
    <w:rsid w:val="00C14CA5"/>
    <w:rsid w:val="00C14D4B"/>
    <w:rsid w:val="00C154BB"/>
    <w:rsid w:val="00C167B7"/>
    <w:rsid w:val="00C22CC6"/>
    <w:rsid w:val="00C22D8A"/>
    <w:rsid w:val="00C23410"/>
    <w:rsid w:val="00C23764"/>
    <w:rsid w:val="00C27019"/>
    <w:rsid w:val="00C279B5"/>
    <w:rsid w:val="00C27C45"/>
    <w:rsid w:val="00C36357"/>
    <w:rsid w:val="00C3719D"/>
    <w:rsid w:val="00C377E7"/>
    <w:rsid w:val="00C37CB2"/>
    <w:rsid w:val="00C41B44"/>
    <w:rsid w:val="00C41D9C"/>
    <w:rsid w:val="00C434E5"/>
    <w:rsid w:val="00C46C8A"/>
    <w:rsid w:val="00C473A5"/>
    <w:rsid w:val="00C5167C"/>
    <w:rsid w:val="00C54995"/>
    <w:rsid w:val="00C54D41"/>
    <w:rsid w:val="00C57AA0"/>
    <w:rsid w:val="00C60783"/>
    <w:rsid w:val="00C6080F"/>
    <w:rsid w:val="00C60B63"/>
    <w:rsid w:val="00C61313"/>
    <w:rsid w:val="00C61EB3"/>
    <w:rsid w:val="00C64672"/>
    <w:rsid w:val="00C64ABA"/>
    <w:rsid w:val="00C70697"/>
    <w:rsid w:val="00C718C3"/>
    <w:rsid w:val="00C71F22"/>
    <w:rsid w:val="00C72093"/>
    <w:rsid w:val="00C72EF4"/>
    <w:rsid w:val="00C73880"/>
    <w:rsid w:val="00C744FE"/>
    <w:rsid w:val="00C75D2F"/>
    <w:rsid w:val="00C767BE"/>
    <w:rsid w:val="00C76D77"/>
    <w:rsid w:val="00C76E3C"/>
    <w:rsid w:val="00C77775"/>
    <w:rsid w:val="00C802A4"/>
    <w:rsid w:val="00C81568"/>
    <w:rsid w:val="00C81B00"/>
    <w:rsid w:val="00C81E85"/>
    <w:rsid w:val="00C83D61"/>
    <w:rsid w:val="00C83EB8"/>
    <w:rsid w:val="00C86A15"/>
    <w:rsid w:val="00C9027A"/>
    <w:rsid w:val="00C903C5"/>
    <w:rsid w:val="00C9068E"/>
    <w:rsid w:val="00C9369F"/>
    <w:rsid w:val="00C93814"/>
    <w:rsid w:val="00C93C4B"/>
    <w:rsid w:val="00C93F50"/>
    <w:rsid w:val="00C944AB"/>
    <w:rsid w:val="00C95B40"/>
    <w:rsid w:val="00C95F46"/>
    <w:rsid w:val="00C965AF"/>
    <w:rsid w:val="00C966F9"/>
    <w:rsid w:val="00CA1ED8"/>
    <w:rsid w:val="00CA2906"/>
    <w:rsid w:val="00CA3068"/>
    <w:rsid w:val="00CA343C"/>
    <w:rsid w:val="00CA599F"/>
    <w:rsid w:val="00CB1A4F"/>
    <w:rsid w:val="00CB1F63"/>
    <w:rsid w:val="00CB26EC"/>
    <w:rsid w:val="00CB7170"/>
    <w:rsid w:val="00CC040E"/>
    <w:rsid w:val="00CC0BBB"/>
    <w:rsid w:val="00CC111F"/>
    <w:rsid w:val="00CC2011"/>
    <w:rsid w:val="00CC36D4"/>
    <w:rsid w:val="00CC3EA0"/>
    <w:rsid w:val="00CC6210"/>
    <w:rsid w:val="00CC6468"/>
    <w:rsid w:val="00CC6E83"/>
    <w:rsid w:val="00CC7B45"/>
    <w:rsid w:val="00CD1188"/>
    <w:rsid w:val="00CD128C"/>
    <w:rsid w:val="00CD2ED1"/>
    <w:rsid w:val="00CD337B"/>
    <w:rsid w:val="00CD37EE"/>
    <w:rsid w:val="00CD3F12"/>
    <w:rsid w:val="00CD40EA"/>
    <w:rsid w:val="00CD57EF"/>
    <w:rsid w:val="00CD5BB3"/>
    <w:rsid w:val="00CD6768"/>
    <w:rsid w:val="00CE0424"/>
    <w:rsid w:val="00CE0990"/>
    <w:rsid w:val="00CE121D"/>
    <w:rsid w:val="00CE1828"/>
    <w:rsid w:val="00CE2BC5"/>
    <w:rsid w:val="00CE5CD3"/>
    <w:rsid w:val="00CE67B4"/>
    <w:rsid w:val="00CE6F28"/>
    <w:rsid w:val="00CE7561"/>
    <w:rsid w:val="00CF1354"/>
    <w:rsid w:val="00CF17E3"/>
    <w:rsid w:val="00CF3B1F"/>
    <w:rsid w:val="00CF3BF6"/>
    <w:rsid w:val="00CF625B"/>
    <w:rsid w:val="00CF687E"/>
    <w:rsid w:val="00D0349B"/>
    <w:rsid w:val="00D04A2F"/>
    <w:rsid w:val="00D0593B"/>
    <w:rsid w:val="00D06922"/>
    <w:rsid w:val="00D079D0"/>
    <w:rsid w:val="00D10249"/>
    <w:rsid w:val="00D11129"/>
    <w:rsid w:val="00D115C3"/>
    <w:rsid w:val="00D11897"/>
    <w:rsid w:val="00D12E7A"/>
    <w:rsid w:val="00D130DD"/>
    <w:rsid w:val="00D13135"/>
    <w:rsid w:val="00D13E4E"/>
    <w:rsid w:val="00D151F4"/>
    <w:rsid w:val="00D165C4"/>
    <w:rsid w:val="00D21F8C"/>
    <w:rsid w:val="00D239A7"/>
    <w:rsid w:val="00D23F47"/>
    <w:rsid w:val="00D2402F"/>
    <w:rsid w:val="00D257CC"/>
    <w:rsid w:val="00D25A6F"/>
    <w:rsid w:val="00D25EC6"/>
    <w:rsid w:val="00D26D69"/>
    <w:rsid w:val="00D27589"/>
    <w:rsid w:val="00D27658"/>
    <w:rsid w:val="00D278EF"/>
    <w:rsid w:val="00D32B81"/>
    <w:rsid w:val="00D32F02"/>
    <w:rsid w:val="00D36E71"/>
    <w:rsid w:val="00D37D87"/>
    <w:rsid w:val="00D40B33"/>
    <w:rsid w:val="00D421A1"/>
    <w:rsid w:val="00D42CC7"/>
    <w:rsid w:val="00D4318F"/>
    <w:rsid w:val="00D438BF"/>
    <w:rsid w:val="00D440F8"/>
    <w:rsid w:val="00D449F5"/>
    <w:rsid w:val="00D46F77"/>
    <w:rsid w:val="00D50EFF"/>
    <w:rsid w:val="00D546FF"/>
    <w:rsid w:val="00D55AD5"/>
    <w:rsid w:val="00D576CA"/>
    <w:rsid w:val="00D57826"/>
    <w:rsid w:val="00D60FC3"/>
    <w:rsid w:val="00D61AF5"/>
    <w:rsid w:val="00D652B5"/>
    <w:rsid w:val="00D6571C"/>
    <w:rsid w:val="00D66155"/>
    <w:rsid w:val="00D708B0"/>
    <w:rsid w:val="00D72D1E"/>
    <w:rsid w:val="00D73247"/>
    <w:rsid w:val="00D73E91"/>
    <w:rsid w:val="00D77B1D"/>
    <w:rsid w:val="00D8021F"/>
    <w:rsid w:val="00D80383"/>
    <w:rsid w:val="00D80961"/>
    <w:rsid w:val="00D823C6"/>
    <w:rsid w:val="00D8327F"/>
    <w:rsid w:val="00D86CA3"/>
    <w:rsid w:val="00D86DCA"/>
    <w:rsid w:val="00D86E56"/>
    <w:rsid w:val="00D871CE"/>
    <w:rsid w:val="00D914F4"/>
    <w:rsid w:val="00D9196D"/>
    <w:rsid w:val="00D92982"/>
    <w:rsid w:val="00D9423B"/>
    <w:rsid w:val="00D96376"/>
    <w:rsid w:val="00D973B9"/>
    <w:rsid w:val="00DA213F"/>
    <w:rsid w:val="00DA305E"/>
    <w:rsid w:val="00DA487D"/>
    <w:rsid w:val="00DA5417"/>
    <w:rsid w:val="00DA56E8"/>
    <w:rsid w:val="00DB0431"/>
    <w:rsid w:val="00DB0A9F"/>
    <w:rsid w:val="00DB0C80"/>
    <w:rsid w:val="00DB3229"/>
    <w:rsid w:val="00DB351B"/>
    <w:rsid w:val="00DB377D"/>
    <w:rsid w:val="00DB71F0"/>
    <w:rsid w:val="00DB7D5D"/>
    <w:rsid w:val="00DC2D36"/>
    <w:rsid w:val="00DC2EC6"/>
    <w:rsid w:val="00DC3809"/>
    <w:rsid w:val="00DC53EF"/>
    <w:rsid w:val="00DC5543"/>
    <w:rsid w:val="00DD1E91"/>
    <w:rsid w:val="00DD4C6E"/>
    <w:rsid w:val="00DE5608"/>
    <w:rsid w:val="00DE58D0"/>
    <w:rsid w:val="00DE654F"/>
    <w:rsid w:val="00DF0B6E"/>
    <w:rsid w:val="00DF0FC7"/>
    <w:rsid w:val="00DF136C"/>
    <w:rsid w:val="00DF15E0"/>
    <w:rsid w:val="00DF163D"/>
    <w:rsid w:val="00DF1CF1"/>
    <w:rsid w:val="00DF37A0"/>
    <w:rsid w:val="00DF393F"/>
    <w:rsid w:val="00DF50ED"/>
    <w:rsid w:val="00DF67FE"/>
    <w:rsid w:val="00E01C47"/>
    <w:rsid w:val="00E01D30"/>
    <w:rsid w:val="00E02945"/>
    <w:rsid w:val="00E04D47"/>
    <w:rsid w:val="00E104F6"/>
    <w:rsid w:val="00E105FF"/>
    <w:rsid w:val="00E110E7"/>
    <w:rsid w:val="00E11B20"/>
    <w:rsid w:val="00E13104"/>
    <w:rsid w:val="00E13ADB"/>
    <w:rsid w:val="00E14536"/>
    <w:rsid w:val="00E15ABC"/>
    <w:rsid w:val="00E17C1B"/>
    <w:rsid w:val="00E17FA2"/>
    <w:rsid w:val="00E2053D"/>
    <w:rsid w:val="00E21790"/>
    <w:rsid w:val="00E22330"/>
    <w:rsid w:val="00E2263D"/>
    <w:rsid w:val="00E227C9"/>
    <w:rsid w:val="00E22AD2"/>
    <w:rsid w:val="00E257A0"/>
    <w:rsid w:val="00E26040"/>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3C34"/>
    <w:rsid w:val="00E446F1"/>
    <w:rsid w:val="00E46347"/>
    <w:rsid w:val="00E46886"/>
    <w:rsid w:val="00E47AEF"/>
    <w:rsid w:val="00E5160B"/>
    <w:rsid w:val="00E51B4A"/>
    <w:rsid w:val="00E51D65"/>
    <w:rsid w:val="00E521D2"/>
    <w:rsid w:val="00E522D3"/>
    <w:rsid w:val="00E53B75"/>
    <w:rsid w:val="00E54A28"/>
    <w:rsid w:val="00E54E3B"/>
    <w:rsid w:val="00E572C0"/>
    <w:rsid w:val="00E57565"/>
    <w:rsid w:val="00E60397"/>
    <w:rsid w:val="00E61FFC"/>
    <w:rsid w:val="00E62C5D"/>
    <w:rsid w:val="00E63838"/>
    <w:rsid w:val="00E64434"/>
    <w:rsid w:val="00E67C51"/>
    <w:rsid w:val="00E717FF"/>
    <w:rsid w:val="00E722D3"/>
    <w:rsid w:val="00E72551"/>
    <w:rsid w:val="00E72EFC"/>
    <w:rsid w:val="00E73218"/>
    <w:rsid w:val="00E758EC"/>
    <w:rsid w:val="00E762EF"/>
    <w:rsid w:val="00E80F97"/>
    <w:rsid w:val="00E8234C"/>
    <w:rsid w:val="00E82466"/>
    <w:rsid w:val="00E829F8"/>
    <w:rsid w:val="00E83980"/>
    <w:rsid w:val="00E83AA9"/>
    <w:rsid w:val="00E8437C"/>
    <w:rsid w:val="00E84C21"/>
    <w:rsid w:val="00E85928"/>
    <w:rsid w:val="00E87822"/>
    <w:rsid w:val="00E90395"/>
    <w:rsid w:val="00E90E49"/>
    <w:rsid w:val="00E917F9"/>
    <w:rsid w:val="00E9291C"/>
    <w:rsid w:val="00E93FFE"/>
    <w:rsid w:val="00E947A5"/>
    <w:rsid w:val="00E94F8A"/>
    <w:rsid w:val="00E97C07"/>
    <w:rsid w:val="00EA1CAE"/>
    <w:rsid w:val="00EA463F"/>
    <w:rsid w:val="00EA71D3"/>
    <w:rsid w:val="00EA7A41"/>
    <w:rsid w:val="00EB077B"/>
    <w:rsid w:val="00EB2FC8"/>
    <w:rsid w:val="00EB4EA2"/>
    <w:rsid w:val="00EB582B"/>
    <w:rsid w:val="00EC08EC"/>
    <w:rsid w:val="00EC24C1"/>
    <w:rsid w:val="00EC24D5"/>
    <w:rsid w:val="00EC27C6"/>
    <w:rsid w:val="00EC32CB"/>
    <w:rsid w:val="00EC4207"/>
    <w:rsid w:val="00EC5653"/>
    <w:rsid w:val="00EC71CE"/>
    <w:rsid w:val="00ED08EA"/>
    <w:rsid w:val="00ED1006"/>
    <w:rsid w:val="00ED1EDD"/>
    <w:rsid w:val="00ED320C"/>
    <w:rsid w:val="00ED3EE6"/>
    <w:rsid w:val="00ED50A7"/>
    <w:rsid w:val="00ED62D7"/>
    <w:rsid w:val="00ED7EDB"/>
    <w:rsid w:val="00EF0347"/>
    <w:rsid w:val="00EF14E4"/>
    <w:rsid w:val="00EF18FE"/>
    <w:rsid w:val="00EF33F3"/>
    <w:rsid w:val="00EF4409"/>
    <w:rsid w:val="00EF5787"/>
    <w:rsid w:val="00EF60D0"/>
    <w:rsid w:val="00F0186A"/>
    <w:rsid w:val="00F01DB0"/>
    <w:rsid w:val="00F02689"/>
    <w:rsid w:val="00F04841"/>
    <w:rsid w:val="00F0528D"/>
    <w:rsid w:val="00F06C67"/>
    <w:rsid w:val="00F06DFD"/>
    <w:rsid w:val="00F06F0D"/>
    <w:rsid w:val="00F071D1"/>
    <w:rsid w:val="00F07533"/>
    <w:rsid w:val="00F10629"/>
    <w:rsid w:val="00F11948"/>
    <w:rsid w:val="00F13291"/>
    <w:rsid w:val="00F1450F"/>
    <w:rsid w:val="00F15740"/>
    <w:rsid w:val="00F15FA5"/>
    <w:rsid w:val="00F209B7"/>
    <w:rsid w:val="00F223F7"/>
    <w:rsid w:val="00F22645"/>
    <w:rsid w:val="00F2376F"/>
    <w:rsid w:val="00F243D8"/>
    <w:rsid w:val="00F25708"/>
    <w:rsid w:val="00F27D35"/>
    <w:rsid w:val="00F30828"/>
    <w:rsid w:val="00F313D6"/>
    <w:rsid w:val="00F32354"/>
    <w:rsid w:val="00F3413F"/>
    <w:rsid w:val="00F40F0C"/>
    <w:rsid w:val="00F413B0"/>
    <w:rsid w:val="00F42FF6"/>
    <w:rsid w:val="00F438A9"/>
    <w:rsid w:val="00F452BF"/>
    <w:rsid w:val="00F4766C"/>
    <w:rsid w:val="00F5060E"/>
    <w:rsid w:val="00F507D1"/>
    <w:rsid w:val="00F50CC1"/>
    <w:rsid w:val="00F51076"/>
    <w:rsid w:val="00F51658"/>
    <w:rsid w:val="00F519CE"/>
    <w:rsid w:val="00F51ADA"/>
    <w:rsid w:val="00F51E8C"/>
    <w:rsid w:val="00F52196"/>
    <w:rsid w:val="00F60203"/>
    <w:rsid w:val="00F607C5"/>
    <w:rsid w:val="00F60DEA"/>
    <w:rsid w:val="00F60FDE"/>
    <w:rsid w:val="00F6302A"/>
    <w:rsid w:val="00F635F5"/>
    <w:rsid w:val="00F63950"/>
    <w:rsid w:val="00F64C2B"/>
    <w:rsid w:val="00F651BE"/>
    <w:rsid w:val="00F66B38"/>
    <w:rsid w:val="00F67D0B"/>
    <w:rsid w:val="00F67F53"/>
    <w:rsid w:val="00F7013B"/>
    <w:rsid w:val="00F703BE"/>
    <w:rsid w:val="00F7148B"/>
    <w:rsid w:val="00F717AE"/>
    <w:rsid w:val="00F71C6C"/>
    <w:rsid w:val="00F71F69"/>
    <w:rsid w:val="00F72954"/>
    <w:rsid w:val="00F72B72"/>
    <w:rsid w:val="00F73412"/>
    <w:rsid w:val="00F73CDD"/>
    <w:rsid w:val="00F74BB9"/>
    <w:rsid w:val="00F75582"/>
    <w:rsid w:val="00F76EFA"/>
    <w:rsid w:val="00F804BE"/>
    <w:rsid w:val="00F817CE"/>
    <w:rsid w:val="00F8456C"/>
    <w:rsid w:val="00F84757"/>
    <w:rsid w:val="00F859D8"/>
    <w:rsid w:val="00F868F5"/>
    <w:rsid w:val="00F9056A"/>
    <w:rsid w:val="00F90F8D"/>
    <w:rsid w:val="00F92782"/>
    <w:rsid w:val="00F93958"/>
    <w:rsid w:val="00F93AA9"/>
    <w:rsid w:val="00F96985"/>
    <w:rsid w:val="00F97838"/>
    <w:rsid w:val="00FA0380"/>
    <w:rsid w:val="00FA0839"/>
    <w:rsid w:val="00FA2BB3"/>
    <w:rsid w:val="00FA556F"/>
    <w:rsid w:val="00FA7015"/>
    <w:rsid w:val="00FB0AA6"/>
    <w:rsid w:val="00FB0C79"/>
    <w:rsid w:val="00FB4C80"/>
    <w:rsid w:val="00FB5B3C"/>
    <w:rsid w:val="00FB6A6A"/>
    <w:rsid w:val="00FC57CA"/>
    <w:rsid w:val="00FC6002"/>
    <w:rsid w:val="00FC6042"/>
    <w:rsid w:val="00FC7429"/>
    <w:rsid w:val="00FD07F6"/>
    <w:rsid w:val="00FD1132"/>
    <w:rsid w:val="00FD1EC8"/>
    <w:rsid w:val="00FD2CC8"/>
    <w:rsid w:val="00FD39C8"/>
    <w:rsid w:val="00FD46A7"/>
    <w:rsid w:val="00FD47ED"/>
    <w:rsid w:val="00FD6687"/>
    <w:rsid w:val="00FD74DB"/>
    <w:rsid w:val="00FD7660"/>
    <w:rsid w:val="00FD7F55"/>
    <w:rsid w:val="00FE0655"/>
    <w:rsid w:val="00FE07C0"/>
    <w:rsid w:val="00FE1C3E"/>
    <w:rsid w:val="00FE2365"/>
    <w:rsid w:val="00FE25C7"/>
    <w:rsid w:val="00FE37D7"/>
    <w:rsid w:val="00FE4510"/>
    <w:rsid w:val="00FE4C7B"/>
    <w:rsid w:val="00FE7336"/>
    <w:rsid w:val="00FE7745"/>
    <w:rsid w:val="00FE787C"/>
    <w:rsid w:val="00FF01C8"/>
    <w:rsid w:val="00FF0967"/>
    <w:rsid w:val="00FF42DF"/>
    <w:rsid w:val="00FF45A5"/>
    <w:rsid w:val="00FF46E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0E0878"/>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16942">
      <w:bodyDiv w:val="1"/>
      <w:marLeft w:val="0"/>
      <w:marRight w:val="0"/>
      <w:marTop w:val="0"/>
      <w:marBottom w:val="0"/>
      <w:divBdr>
        <w:top w:val="none" w:sz="0" w:space="0" w:color="auto"/>
        <w:left w:val="none" w:sz="0" w:space="0" w:color="auto"/>
        <w:bottom w:val="none" w:sz="0" w:space="0" w:color="auto"/>
        <w:right w:val="none" w:sz="0" w:space="0" w:color="auto"/>
      </w:divBdr>
    </w:div>
    <w:div w:id="57749403">
      <w:bodyDiv w:val="1"/>
      <w:marLeft w:val="0"/>
      <w:marRight w:val="0"/>
      <w:marTop w:val="0"/>
      <w:marBottom w:val="0"/>
      <w:divBdr>
        <w:top w:val="none" w:sz="0" w:space="0" w:color="auto"/>
        <w:left w:val="none" w:sz="0" w:space="0" w:color="auto"/>
        <w:bottom w:val="none" w:sz="0" w:space="0" w:color="auto"/>
        <w:right w:val="none" w:sz="0" w:space="0" w:color="auto"/>
      </w:divBdr>
    </w:div>
    <w:div w:id="98262533">
      <w:bodyDiv w:val="1"/>
      <w:marLeft w:val="0"/>
      <w:marRight w:val="0"/>
      <w:marTop w:val="0"/>
      <w:marBottom w:val="0"/>
      <w:divBdr>
        <w:top w:val="none" w:sz="0" w:space="0" w:color="auto"/>
        <w:left w:val="none" w:sz="0" w:space="0" w:color="auto"/>
        <w:bottom w:val="none" w:sz="0" w:space="0" w:color="auto"/>
        <w:right w:val="none" w:sz="0" w:space="0" w:color="auto"/>
      </w:divBdr>
    </w:div>
    <w:div w:id="121271548">
      <w:bodyDiv w:val="1"/>
      <w:marLeft w:val="0"/>
      <w:marRight w:val="0"/>
      <w:marTop w:val="0"/>
      <w:marBottom w:val="0"/>
      <w:divBdr>
        <w:top w:val="none" w:sz="0" w:space="0" w:color="auto"/>
        <w:left w:val="none" w:sz="0" w:space="0" w:color="auto"/>
        <w:bottom w:val="none" w:sz="0" w:space="0" w:color="auto"/>
        <w:right w:val="none" w:sz="0" w:space="0" w:color="auto"/>
      </w:divBdr>
    </w:div>
    <w:div w:id="161315271">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31353587">
      <w:bodyDiv w:val="1"/>
      <w:marLeft w:val="0"/>
      <w:marRight w:val="0"/>
      <w:marTop w:val="0"/>
      <w:marBottom w:val="0"/>
      <w:divBdr>
        <w:top w:val="none" w:sz="0" w:space="0" w:color="auto"/>
        <w:left w:val="none" w:sz="0" w:space="0" w:color="auto"/>
        <w:bottom w:val="none" w:sz="0" w:space="0" w:color="auto"/>
        <w:right w:val="none" w:sz="0" w:space="0" w:color="auto"/>
      </w:divBdr>
    </w:div>
    <w:div w:id="239951247">
      <w:bodyDiv w:val="1"/>
      <w:marLeft w:val="0"/>
      <w:marRight w:val="0"/>
      <w:marTop w:val="0"/>
      <w:marBottom w:val="0"/>
      <w:divBdr>
        <w:top w:val="none" w:sz="0" w:space="0" w:color="auto"/>
        <w:left w:val="none" w:sz="0" w:space="0" w:color="auto"/>
        <w:bottom w:val="none" w:sz="0" w:space="0" w:color="auto"/>
        <w:right w:val="none" w:sz="0" w:space="0" w:color="auto"/>
      </w:divBdr>
    </w:div>
    <w:div w:id="275332831">
      <w:bodyDiv w:val="1"/>
      <w:marLeft w:val="0"/>
      <w:marRight w:val="0"/>
      <w:marTop w:val="0"/>
      <w:marBottom w:val="0"/>
      <w:divBdr>
        <w:top w:val="none" w:sz="0" w:space="0" w:color="auto"/>
        <w:left w:val="none" w:sz="0" w:space="0" w:color="auto"/>
        <w:bottom w:val="none" w:sz="0" w:space="0" w:color="auto"/>
        <w:right w:val="none" w:sz="0" w:space="0" w:color="auto"/>
      </w:divBdr>
    </w:div>
    <w:div w:id="283198194">
      <w:bodyDiv w:val="1"/>
      <w:marLeft w:val="0"/>
      <w:marRight w:val="0"/>
      <w:marTop w:val="0"/>
      <w:marBottom w:val="0"/>
      <w:divBdr>
        <w:top w:val="none" w:sz="0" w:space="0" w:color="auto"/>
        <w:left w:val="none" w:sz="0" w:space="0" w:color="auto"/>
        <w:bottom w:val="none" w:sz="0" w:space="0" w:color="auto"/>
        <w:right w:val="none" w:sz="0" w:space="0" w:color="auto"/>
      </w:divBdr>
      <w:divsChild>
        <w:div w:id="1157765913">
          <w:marLeft w:val="446"/>
          <w:marRight w:val="0"/>
          <w:marTop w:val="0"/>
          <w:marBottom w:val="0"/>
          <w:divBdr>
            <w:top w:val="none" w:sz="0" w:space="0" w:color="auto"/>
            <w:left w:val="none" w:sz="0" w:space="0" w:color="auto"/>
            <w:bottom w:val="none" w:sz="0" w:space="0" w:color="auto"/>
            <w:right w:val="none" w:sz="0" w:space="0" w:color="auto"/>
          </w:divBdr>
        </w:div>
        <w:div w:id="1172378743">
          <w:marLeft w:val="446"/>
          <w:marRight w:val="0"/>
          <w:marTop w:val="0"/>
          <w:marBottom w:val="0"/>
          <w:divBdr>
            <w:top w:val="none" w:sz="0" w:space="0" w:color="auto"/>
            <w:left w:val="none" w:sz="0" w:space="0" w:color="auto"/>
            <w:bottom w:val="none" w:sz="0" w:space="0" w:color="auto"/>
            <w:right w:val="none" w:sz="0" w:space="0" w:color="auto"/>
          </w:divBdr>
        </w:div>
        <w:div w:id="452212657">
          <w:marLeft w:val="1166"/>
          <w:marRight w:val="0"/>
          <w:marTop w:val="0"/>
          <w:marBottom w:val="0"/>
          <w:divBdr>
            <w:top w:val="none" w:sz="0" w:space="0" w:color="auto"/>
            <w:left w:val="none" w:sz="0" w:space="0" w:color="auto"/>
            <w:bottom w:val="none" w:sz="0" w:space="0" w:color="auto"/>
            <w:right w:val="none" w:sz="0" w:space="0" w:color="auto"/>
          </w:divBdr>
        </w:div>
        <w:div w:id="1077289768">
          <w:marLeft w:val="1166"/>
          <w:marRight w:val="0"/>
          <w:marTop w:val="0"/>
          <w:marBottom w:val="0"/>
          <w:divBdr>
            <w:top w:val="none" w:sz="0" w:space="0" w:color="auto"/>
            <w:left w:val="none" w:sz="0" w:space="0" w:color="auto"/>
            <w:bottom w:val="none" w:sz="0" w:space="0" w:color="auto"/>
            <w:right w:val="none" w:sz="0" w:space="0" w:color="auto"/>
          </w:divBdr>
        </w:div>
        <w:div w:id="1184126532">
          <w:marLeft w:val="1166"/>
          <w:marRight w:val="0"/>
          <w:marTop w:val="0"/>
          <w:marBottom w:val="0"/>
          <w:divBdr>
            <w:top w:val="none" w:sz="0" w:space="0" w:color="auto"/>
            <w:left w:val="none" w:sz="0" w:space="0" w:color="auto"/>
            <w:bottom w:val="none" w:sz="0" w:space="0" w:color="auto"/>
            <w:right w:val="none" w:sz="0" w:space="0" w:color="auto"/>
          </w:divBdr>
        </w:div>
        <w:div w:id="1794204022">
          <w:marLeft w:val="1166"/>
          <w:marRight w:val="0"/>
          <w:marTop w:val="0"/>
          <w:marBottom w:val="0"/>
          <w:divBdr>
            <w:top w:val="none" w:sz="0" w:space="0" w:color="auto"/>
            <w:left w:val="none" w:sz="0" w:space="0" w:color="auto"/>
            <w:bottom w:val="none" w:sz="0" w:space="0" w:color="auto"/>
            <w:right w:val="none" w:sz="0" w:space="0" w:color="auto"/>
          </w:divBdr>
        </w:div>
      </w:divsChild>
    </w:div>
    <w:div w:id="305862858">
      <w:bodyDiv w:val="1"/>
      <w:marLeft w:val="0"/>
      <w:marRight w:val="0"/>
      <w:marTop w:val="0"/>
      <w:marBottom w:val="0"/>
      <w:divBdr>
        <w:top w:val="none" w:sz="0" w:space="0" w:color="auto"/>
        <w:left w:val="none" w:sz="0" w:space="0" w:color="auto"/>
        <w:bottom w:val="none" w:sz="0" w:space="0" w:color="auto"/>
        <w:right w:val="none" w:sz="0" w:space="0" w:color="auto"/>
      </w:divBdr>
    </w:div>
    <w:div w:id="326909157">
      <w:bodyDiv w:val="1"/>
      <w:marLeft w:val="0"/>
      <w:marRight w:val="0"/>
      <w:marTop w:val="0"/>
      <w:marBottom w:val="0"/>
      <w:divBdr>
        <w:top w:val="none" w:sz="0" w:space="0" w:color="auto"/>
        <w:left w:val="none" w:sz="0" w:space="0" w:color="auto"/>
        <w:bottom w:val="none" w:sz="0" w:space="0" w:color="auto"/>
        <w:right w:val="none" w:sz="0" w:space="0" w:color="auto"/>
      </w:divBdr>
    </w:div>
    <w:div w:id="366179383">
      <w:bodyDiv w:val="1"/>
      <w:marLeft w:val="0"/>
      <w:marRight w:val="0"/>
      <w:marTop w:val="0"/>
      <w:marBottom w:val="0"/>
      <w:divBdr>
        <w:top w:val="none" w:sz="0" w:space="0" w:color="auto"/>
        <w:left w:val="none" w:sz="0" w:space="0" w:color="auto"/>
        <w:bottom w:val="none" w:sz="0" w:space="0" w:color="auto"/>
        <w:right w:val="none" w:sz="0" w:space="0" w:color="auto"/>
      </w:divBdr>
    </w:div>
    <w:div w:id="375855194">
      <w:bodyDiv w:val="1"/>
      <w:marLeft w:val="0"/>
      <w:marRight w:val="0"/>
      <w:marTop w:val="0"/>
      <w:marBottom w:val="0"/>
      <w:divBdr>
        <w:top w:val="none" w:sz="0" w:space="0" w:color="auto"/>
        <w:left w:val="none" w:sz="0" w:space="0" w:color="auto"/>
        <w:bottom w:val="none" w:sz="0" w:space="0" w:color="auto"/>
        <w:right w:val="none" w:sz="0" w:space="0" w:color="auto"/>
      </w:divBdr>
      <w:divsChild>
        <w:div w:id="863440954">
          <w:marLeft w:val="446"/>
          <w:marRight w:val="0"/>
          <w:marTop w:val="0"/>
          <w:marBottom w:val="0"/>
          <w:divBdr>
            <w:top w:val="none" w:sz="0" w:space="0" w:color="auto"/>
            <w:left w:val="none" w:sz="0" w:space="0" w:color="auto"/>
            <w:bottom w:val="none" w:sz="0" w:space="0" w:color="auto"/>
            <w:right w:val="none" w:sz="0" w:space="0" w:color="auto"/>
          </w:divBdr>
        </w:div>
      </w:divsChild>
    </w:div>
    <w:div w:id="376777613">
      <w:bodyDiv w:val="1"/>
      <w:marLeft w:val="0"/>
      <w:marRight w:val="0"/>
      <w:marTop w:val="0"/>
      <w:marBottom w:val="0"/>
      <w:divBdr>
        <w:top w:val="none" w:sz="0" w:space="0" w:color="auto"/>
        <w:left w:val="none" w:sz="0" w:space="0" w:color="auto"/>
        <w:bottom w:val="none" w:sz="0" w:space="0" w:color="auto"/>
        <w:right w:val="none" w:sz="0" w:space="0" w:color="auto"/>
      </w:divBdr>
    </w:div>
    <w:div w:id="485821245">
      <w:bodyDiv w:val="1"/>
      <w:marLeft w:val="0"/>
      <w:marRight w:val="0"/>
      <w:marTop w:val="0"/>
      <w:marBottom w:val="0"/>
      <w:divBdr>
        <w:top w:val="none" w:sz="0" w:space="0" w:color="auto"/>
        <w:left w:val="none" w:sz="0" w:space="0" w:color="auto"/>
        <w:bottom w:val="none" w:sz="0" w:space="0" w:color="auto"/>
        <w:right w:val="none" w:sz="0" w:space="0" w:color="auto"/>
      </w:divBdr>
    </w:div>
    <w:div w:id="524172755">
      <w:bodyDiv w:val="1"/>
      <w:marLeft w:val="0"/>
      <w:marRight w:val="0"/>
      <w:marTop w:val="0"/>
      <w:marBottom w:val="0"/>
      <w:divBdr>
        <w:top w:val="none" w:sz="0" w:space="0" w:color="auto"/>
        <w:left w:val="none" w:sz="0" w:space="0" w:color="auto"/>
        <w:bottom w:val="none" w:sz="0" w:space="0" w:color="auto"/>
        <w:right w:val="none" w:sz="0" w:space="0" w:color="auto"/>
      </w:divBdr>
    </w:div>
    <w:div w:id="544408341">
      <w:bodyDiv w:val="1"/>
      <w:marLeft w:val="0"/>
      <w:marRight w:val="0"/>
      <w:marTop w:val="0"/>
      <w:marBottom w:val="0"/>
      <w:divBdr>
        <w:top w:val="none" w:sz="0" w:space="0" w:color="auto"/>
        <w:left w:val="none" w:sz="0" w:space="0" w:color="auto"/>
        <w:bottom w:val="none" w:sz="0" w:space="0" w:color="auto"/>
        <w:right w:val="none" w:sz="0" w:space="0" w:color="auto"/>
      </w:divBdr>
    </w:div>
    <w:div w:id="585967482">
      <w:bodyDiv w:val="1"/>
      <w:marLeft w:val="0"/>
      <w:marRight w:val="0"/>
      <w:marTop w:val="0"/>
      <w:marBottom w:val="0"/>
      <w:divBdr>
        <w:top w:val="none" w:sz="0" w:space="0" w:color="auto"/>
        <w:left w:val="none" w:sz="0" w:space="0" w:color="auto"/>
        <w:bottom w:val="none" w:sz="0" w:space="0" w:color="auto"/>
        <w:right w:val="none" w:sz="0" w:space="0" w:color="auto"/>
      </w:divBdr>
    </w:div>
    <w:div w:id="633102059">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674840318">
      <w:bodyDiv w:val="1"/>
      <w:marLeft w:val="0"/>
      <w:marRight w:val="0"/>
      <w:marTop w:val="0"/>
      <w:marBottom w:val="0"/>
      <w:divBdr>
        <w:top w:val="none" w:sz="0" w:space="0" w:color="auto"/>
        <w:left w:val="none" w:sz="0" w:space="0" w:color="auto"/>
        <w:bottom w:val="none" w:sz="0" w:space="0" w:color="auto"/>
        <w:right w:val="none" w:sz="0" w:space="0" w:color="auto"/>
      </w:divBdr>
    </w:div>
    <w:div w:id="705524429">
      <w:bodyDiv w:val="1"/>
      <w:marLeft w:val="0"/>
      <w:marRight w:val="0"/>
      <w:marTop w:val="0"/>
      <w:marBottom w:val="0"/>
      <w:divBdr>
        <w:top w:val="none" w:sz="0" w:space="0" w:color="auto"/>
        <w:left w:val="none" w:sz="0" w:space="0" w:color="auto"/>
        <w:bottom w:val="none" w:sz="0" w:space="0" w:color="auto"/>
        <w:right w:val="none" w:sz="0" w:space="0" w:color="auto"/>
      </w:divBdr>
    </w:div>
    <w:div w:id="736366703">
      <w:bodyDiv w:val="1"/>
      <w:marLeft w:val="0"/>
      <w:marRight w:val="0"/>
      <w:marTop w:val="0"/>
      <w:marBottom w:val="0"/>
      <w:divBdr>
        <w:top w:val="none" w:sz="0" w:space="0" w:color="auto"/>
        <w:left w:val="none" w:sz="0" w:space="0" w:color="auto"/>
        <w:bottom w:val="none" w:sz="0" w:space="0" w:color="auto"/>
        <w:right w:val="none" w:sz="0" w:space="0" w:color="auto"/>
      </w:divBdr>
    </w:div>
    <w:div w:id="783574610">
      <w:bodyDiv w:val="1"/>
      <w:marLeft w:val="0"/>
      <w:marRight w:val="0"/>
      <w:marTop w:val="0"/>
      <w:marBottom w:val="0"/>
      <w:divBdr>
        <w:top w:val="none" w:sz="0" w:space="0" w:color="auto"/>
        <w:left w:val="none" w:sz="0" w:space="0" w:color="auto"/>
        <w:bottom w:val="none" w:sz="0" w:space="0" w:color="auto"/>
        <w:right w:val="none" w:sz="0" w:space="0" w:color="auto"/>
      </w:divBdr>
    </w:div>
    <w:div w:id="828248847">
      <w:bodyDiv w:val="1"/>
      <w:marLeft w:val="0"/>
      <w:marRight w:val="0"/>
      <w:marTop w:val="0"/>
      <w:marBottom w:val="0"/>
      <w:divBdr>
        <w:top w:val="none" w:sz="0" w:space="0" w:color="auto"/>
        <w:left w:val="none" w:sz="0" w:space="0" w:color="auto"/>
        <w:bottom w:val="none" w:sz="0" w:space="0" w:color="auto"/>
        <w:right w:val="none" w:sz="0" w:space="0" w:color="auto"/>
      </w:divBdr>
    </w:div>
    <w:div w:id="866867522">
      <w:bodyDiv w:val="1"/>
      <w:marLeft w:val="0"/>
      <w:marRight w:val="0"/>
      <w:marTop w:val="0"/>
      <w:marBottom w:val="0"/>
      <w:divBdr>
        <w:top w:val="none" w:sz="0" w:space="0" w:color="auto"/>
        <w:left w:val="none" w:sz="0" w:space="0" w:color="auto"/>
        <w:bottom w:val="none" w:sz="0" w:space="0" w:color="auto"/>
        <w:right w:val="none" w:sz="0" w:space="0" w:color="auto"/>
      </w:divBdr>
    </w:div>
    <w:div w:id="889616281">
      <w:bodyDiv w:val="1"/>
      <w:marLeft w:val="0"/>
      <w:marRight w:val="0"/>
      <w:marTop w:val="0"/>
      <w:marBottom w:val="0"/>
      <w:divBdr>
        <w:top w:val="none" w:sz="0" w:space="0" w:color="auto"/>
        <w:left w:val="none" w:sz="0" w:space="0" w:color="auto"/>
        <w:bottom w:val="none" w:sz="0" w:space="0" w:color="auto"/>
        <w:right w:val="none" w:sz="0" w:space="0" w:color="auto"/>
      </w:divBdr>
    </w:div>
    <w:div w:id="895553804">
      <w:bodyDiv w:val="1"/>
      <w:marLeft w:val="0"/>
      <w:marRight w:val="0"/>
      <w:marTop w:val="0"/>
      <w:marBottom w:val="0"/>
      <w:divBdr>
        <w:top w:val="none" w:sz="0" w:space="0" w:color="auto"/>
        <w:left w:val="none" w:sz="0" w:space="0" w:color="auto"/>
        <w:bottom w:val="none" w:sz="0" w:space="0" w:color="auto"/>
        <w:right w:val="none" w:sz="0" w:space="0" w:color="auto"/>
      </w:divBdr>
      <w:divsChild>
        <w:div w:id="560136394">
          <w:marLeft w:val="446"/>
          <w:marRight w:val="0"/>
          <w:marTop w:val="0"/>
          <w:marBottom w:val="0"/>
          <w:divBdr>
            <w:top w:val="none" w:sz="0" w:space="0" w:color="auto"/>
            <w:left w:val="none" w:sz="0" w:space="0" w:color="auto"/>
            <w:bottom w:val="none" w:sz="0" w:space="0" w:color="auto"/>
            <w:right w:val="none" w:sz="0" w:space="0" w:color="auto"/>
          </w:divBdr>
        </w:div>
        <w:div w:id="608512787">
          <w:marLeft w:val="446"/>
          <w:marRight w:val="0"/>
          <w:marTop w:val="0"/>
          <w:marBottom w:val="0"/>
          <w:divBdr>
            <w:top w:val="none" w:sz="0" w:space="0" w:color="auto"/>
            <w:left w:val="none" w:sz="0" w:space="0" w:color="auto"/>
            <w:bottom w:val="none" w:sz="0" w:space="0" w:color="auto"/>
            <w:right w:val="none" w:sz="0" w:space="0" w:color="auto"/>
          </w:divBdr>
        </w:div>
        <w:div w:id="645017131">
          <w:marLeft w:val="1166"/>
          <w:marRight w:val="0"/>
          <w:marTop w:val="0"/>
          <w:marBottom w:val="0"/>
          <w:divBdr>
            <w:top w:val="none" w:sz="0" w:space="0" w:color="auto"/>
            <w:left w:val="none" w:sz="0" w:space="0" w:color="auto"/>
            <w:bottom w:val="none" w:sz="0" w:space="0" w:color="auto"/>
            <w:right w:val="none" w:sz="0" w:space="0" w:color="auto"/>
          </w:divBdr>
        </w:div>
        <w:div w:id="1350838739">
          <w:marLeft w:val="1166"/>
          <w:marRight w:val="0"/>
          <w:marTop w:val="0"/>
          <w:marBottom w:val="0"/>
          <w:divBdr>
            <w:top w:val="none" w:sz="0" w:space="0" w:color="auto"/>
            <w:left w:val="none" w:sz="0" w:space="0" w:color="auto"/>
            <w:bottom w:val="none" w:sz="0" w:space="0" w:color="auto"/>
            <w:right w:val="none" w:sz="0" w:space="0" w:color="auto"/>
          </w:divBdr>
        </w:div>
        <w:div w:id="683631980">
          <w:marLeft w:val="1166"/>
          <w:marRight w:val="0"/>
          <w:marTop w:val="0"/>
          <w:marBottom w:val="0"/>
          <w:divBdr>
            <w:top w:val="none" w:sz="0" w:space="0" w:color="auto"/>
            <w:left w:val="none" w:sz="0" w:space="0" w:color="auto"/>
            <w:bottom w:val="none" w:sz="0" w:space="0" w:color="auto"/>
            <w:right w:val="none" w:sz="0" w:space="0" w:color="auto"/>
          </w:divBdr>
        </w:div>
        <w:div w:id="1652557569">
          <w:marLeft w:val="1166"/>
          <w:marRight w:val="0"/>
          <w:marTop w:val="0"/>
          <w:marBottom w:val="0"/>
          <w:divBdr>
            <w:top w:val="none" w:sz="0" w:space="0" w:color="auto"/>
            <w:left w:val="none" w:sz="0" w:space="0" w:color="auto"/>
            <w:bottom w:val="none" w:sz="0" w:space="0" w:color="auto"/>
            <w:right w:val="none" w:sz="0" w:space="0" w:color="auto"/>
          </w:divBdr>
        </w:div>
      </w:divsChild>
    </w:div>
    <w:div w:id="896936581">
      <w:bodyDiv w:val="1"/>
      <w:marLeft w:val="0"/>
      <w:marRight w:val="0"/>
      <w:marTop w:val="0"/>
      <w:marBottom w:val="0"/>
      <w:divBdr>
        <w:top w:val="none" w:sz="0" w:space="0" w:color="auto"/>
        <w:left w:val="none" w:sz="0" w:space="0" w:color="auto"/>
        <w:bottom w:val="none" w:sz="0" w:space="0" w:color="auto"/>
        <w:right w:val="none" w:sz="0" w:space="0" w:color="auto"/>
      </w:divBdr>
      <w:divsChild>
        <w:div w:id="1303735550">
          <w:marLeft w:val="1080"/>
          <w:marRight w:val="0"/>
          <w:marTop w:val="0"/>
          <w:marBottom w:val="0"/>
          <w:divBdr>
            <w:top w:val="none" w:sz="0" w:space="0" w:color="auto"/>
            <w:left w:val="none" w:sz="0" w:space="0" w:color="auto"/>
            <w:bottom w:val="none" w:sz="0" w:space="0" w:color="auto"/>
            <w:right w:val="none" w:sz="0" w:space="0" w:color="auto"/>
          </w:divBdr>
        </w:div>
        <w:div w:id="1368067462">
          <w:marLeft w:val="1080"/>
          <w:marRight w:val="0"/>
          <w:marTop w:val="0"/>
          <w:marBottom w:val="0"/>
          <w:divBdr>
            <w:top w:val="none" w:sz="0" w:space="0" w:color="auto"/>
            <w:left w:val="none" w:sz="0" w:space="0" w:color="auto"/>
            <w:bottom w:val="none" w:sz="0" w:space="0" w:color="auto"/>
            <w:right w:val="none" w:sz="0" w:space="0" w:color="auto"/>
          </w:divBdr>
        </w:div>
        <w:div w:id="1186140114">
          <w:marLeft w:val="1080"/>
          <w:marRight w:val="0"/>
          <w:marTop w:val="0"/>
          <w:marBottom w:val="0"/>
          <w:divBdr>
            <w:top w:val="none" w:sz="0" w:space="0" w:color="auto"/>
            <w:left w:val="none" w:sz="0" w:space="0" w:color="auto"/>
            <w:bottom w:val="none" w:sz="0" w:space="0" w:color="auto"/>
            <w:right w:val="none" w:sz="0" w:space="0" w:color="auto"/>
          </w:divBdr>
        </w:div>
        <w:div w:id="910653311">
          <w:marLeft w:val="1080"/>
          <w:marRight w:val="0"/>
          <w:marTop w:val="0"/>
          <w:marBottom w:val="0"/>
          <w:divBdr>
            <w:top w:val="none" w:sz="0" w:space="0" w:color="auto"/>
            <w:left w:val="none" w:sz="0" w:space="0" w:color="auto"/>
            <w:bottom w:val="none" w:sz="0" w:space="0" w:color="auto"/>
            <w:right w:val="none" w:sz="0" w:space="0" w:color="auto"/>
          </w:divBdr>
        </w:div>
        <w:div w:id="938680006">
          <w:marLeft w:val="1080"/>
          <w:marRight w:val="0"/>
          <w:marTop w:val="0"/>
          <w:marBottom w:val="0"/>
          <w:divBdr>
            <w:top w:val="none" w:sz="0" w:space="0" w:color="auto"/>
            <w:left w:val="none" w:sz="0" w:space="0" w:color="auto"/>
            <w:bottom w:val="none" w:sz="0" w:space="0" w:color="auto"/>
            <w:right w:val="none" w:sz="0" w:space="0" w:color="auto"/>
          </w:divBdr>
        </w:div>
      </w:divsChild>
    </w:div>
    <w:div w:id="1001005585">
      <w:bodyDiv w:val="1"/>
      <w:marLeft w:val="0"/>
      <w:marRight w:val="0"/>
      <w:marTop w:val="0"/>
      <w:marBottom w:val="0"/>
      <w:divBdr>
        <w:top w:val="none" w:sz="0" w:space="0" w:color="auto"/>
        <w:left w:val="none" w:sz="0" w:space="0" w:color="auto"/>
        <w:bottom w:val="none" w:sz="0" w:space="0" w:color="auto"/>
        <w:right w:val="none" w:sz="0" w:space="0" w:color="auto"/>
      </w:divBdr>
    </w:div>
    <w:div w:id="1012494789">
      <w:bodyDiv w:val="1"/>
      <w:marLeft w:val="0"/>
      <w:marRight w:val="0"/>
      <w:marTop w:val="0"/>
      <w:marBottom w:val="0"/>
      <w:divBdr>
        <w:top w:val="none" w:sz="0" w:space="0" w:color="auto"/>
        <w:left w:val="none" w:sz="0" w:space="0" w:color="auto"/>
        <w:bottom w:val="none" w:sz="0" w:space="0" w:color="auto"/>
        <w:right w:val="none" w:sz="0" w:space="0" w:color="auto"/>
      </w:divBdr>
      <w:divsChild>
        <w:div w:id="340090806">
          <w:marLeft w:val="547"/>
          <w:marRight w:val="0"/>
          <w:marTop w:val="0"/>
          <w:marBottom w:val="0"/>
          <w:divBdr>
            <w:top w:val="none" w:sz="0" w:space="0" w:color="auto"/>
            <w:left w:val="none" w:sz="0" w:space="0" w:color="auto"/>
            <w:bottom w:val="none" w:sz="0" w:space="0" w:color="auto"/>
            <w:right w:val="none" w:sz="0" w:space="0" w:color="auto"/>
          </w:divBdr>
        </w:div>
        <w:div w:id="1383751458">
          <w:marLeft w:val="1166"/>
          <w:marRight w:val="0"/>
          <w:marTop w:val="0"/>
          <w:marBottom w:val="0"/>
          <w:divBdr>
            <w:top w:val="none" w:sz="0" w:space="0" w:color="auto"/>
            <w:left w:val="none" w:sz="0" w:space="0" w:color="auto"/>
            <w:bottom w:val="none" w:sz="0" w:space="0" w:color="auto"/>
            <w:right w:val="none" w:sz="0" w:space="0" w:color="auto"/>
          </w:divBdr>
        </w:div>
        <w:div w:id="681593763">
          <w:marLeft w:val="547"/>
          <w:marRight w:val="0"/>
          <w:marTop w:val="0"/>
          <w:marBottom w:val="0"/>
          <w:divBdr>
            <w:top w:val="none" w:sz="0" w:space="0" w:color="auto"/>
            <w:left w:val="none" w:sz="0" w:space="0" w:color="auto"/>
            <w:bottom w:val="none" w:sz="0" w:space="0" w:color="auto"/>
            <w:right w:val="none" w:sz="0" w:space="0" w:color="auto"/>
          </w:divBdr>
        </w:div>
      </w:divsChild>
    </w:div>
    <w:div w:id="1026515457">
      <w:bodyDiv w:val="1"/>
      <w:marLeft w:val="0"/>
      <w:marRight w:val="0"/>
      <w:marTop w:val="0"/>
      <w:marBottom w:val="0"/>
      <w:divBdr>
        <w:top w:val="none" w:sz="0" w:space="0" w:color="auto"/>
        <w:left w:val="none" w:sz="0" w:space="0" w:color="auto"/>
        <w:bottom w:val="none" w:sz="0" w:space="0" w:color="auto"/>
        <w:right w:val="none" w:sz="0" w:space="0" w:color="auto"/>
      </w:divBdr>
    </w:div>
    <w:div w:id="1036807312">
      <w:bodyDiv w:val="1"/>
      <w:marLeft w:val="0"/>
      <w:marRight w:val="0"/>
      <w:marTop w:val="0"/>
      <w:marBottom w:val="0"/>
      <w:divBdr>
        <w:top w:val="none" w:sz="0" w:space="0" w:color="auto"/>
        <w:left w:val="none" w:sz="0" w:space="0" w:color="auto"/>
        <w:bottom w:val="none" w:sz="0" w:space="0" w:color="auto"/>
        <w:right w:val="none" w:sz="0" w:space="0" w:color="auto"/>
      </w:divBdr>
      <w:divsChild>
        <w:div w:id="453213614">
          <w:marLeft w:val="547"/>
          <w:marRight w:val="0"/>
          <w:marTop w:val="0"/>
          <w:marBottom w:val="0"/>
          <w:divBdr>
            <w:top w:val="none" w:sz="0" w:space="0" w:color="auto"/>
            <w:left w:val="none" w:sz="0" w:space="0" w:color="auto"/>
            <w:bottom w:val="none" w:sz="0" w:space="0" w:color="auto"/>
            <w:right w:val="none" w:sz="0" w:space="0" w:color="auto"/>
          </w:divBdr>
        </w:div>
        <w:div w:id="492183165">
          <w:marLeft w:val="547"/>
          <w:marRight w:val="0"/>
          <w:marTop w:val="0"/>
          <w:marBottom w:val="0"/>
          <w:divBdr>
            <w:top w:val="none" w:sz="0" w:space="0" w:color="auto"/>
            <w:left w:val="none" w:sz="0" w:space="0" w:color="auto"/>
            <w:bottom w:val="none" w:sz="0" w:space="0" w:color="auto"/>
            <w:right w:val="none" w:sz="0" w:space="0" w:color="auto"/>
          </w:divBdr>
        </w:div>
        <w:div w:id="1218512357">
          <w:marLeft w:val="547"/>
          <w:marRight w:val="0"/>
          <w:marTop w:val="0"/>
          <w:marBottom w:val="0"/>
          <w:divBdr>
            <w:top w:val="none" w:sz="0" w:space="0" w:color="auto"/>
            <w:left w:val="none" w:sz="0" w:space="0" w:color="auto"/>
            <w:bottom w:val="none" w:sz="0" w:space="0" w:color="auto"/>
            <w:right w:val="none" w:sz="0" w:space="0" w:color="auto"/>
          </w:divBdr>
        </w:div>
      </w:divsChild>
    </w:div>
    <w:div w:id="1052075602">
      <w:bodyDiv w:val="1"/>
      <w:marLeft w:val="0"/>
      <w:marRight w:val="0"/>
      <w:marTop w:val="0"/>
      <w:marBottom w:val="0"/>
      <w:divBdr>
        <w:top w:val="none" w:sz="0" w:space="0" w:color="auto"/>
        <w:left w:val="none" w:sz="0" w:space="0" w:color="auto"/>
        <w:bottom w:val="none" w:sz="0" w:space="0" w:color="auto"/>
        <w:right w:val="none" w:sz="0" w:space="0" w:color="auto"/>
      </w:divBdr>
      <w:divsChild>
        <w:div w:id="361177841">
          <w:marLeft w:val="360"/>
          <w:marRight w:val="0"/>
          <w:marTop w:val="0"/>
          <w:marBottom w:val="0"/>
          <w:divBdr>
            <w:top w:val="none" w:sz="0" w:space="0" w:color="auto"/>
            <w:left w:val="none" w:sz="0" w:space="0" w:color="auto"/>
            <w:bottom w:val="none" w:sz="0" w:space="0" w:color="auto"/>
            <w:right w:val="none" w:sz="0" w:space="0" w:color="auto"/>
          </w:divBdr>
        </w:div>
        <w:div w:id="1399982529">
          <w:marLeft w:val="360"/>
          <w:marRight w:val="0"/>
          <w:marTop w:val="0"/>
          <w:marBottom w:val="0"/>
          <w:divBdr>
            <w:top w:val="none" w:sz="0" w:space="0" w:color="auto"/>
            <w:left w:val="none" w:sz="0" w:space="0" w:color="auto"/>
            <w:bottom w:val="none" w:sz="0" w:space="0" w:color="auto"/>
            <w:right w:val="none" w:sz="0" w:space="0" w:color="auto"/>
          </w:divBdr>
        </w:div>
        <w:div w:id="549221102">
          <w:marLeft w:val="360"/>
          <w:marRight w:val="0"/>
          <w:marTop w:val="0"/>
          <w:marBottom w:val="0"/>
          <w:divBdr>
            <w:top w:val="none" w:sz="0" w:space="0" w:color="auto"/>
            <w:left w:val="none" w:sz="0" w:space="0" w:color="auto"/>
            <w:bottom w:val="none" w:sz="0" w:space="0" w:color="auto"/>
            <w:right w:val="none" w:sz="0" w:space="0" w:color="auto"/>
          </w:divBdr>
        </w:div>
      </w:divsChild>
    </w:div>
    <w:div w:id="1056900408">
      <w:bodyDiv w:val="1"/>
      <w:marLeft w:val="0"/>
      <w:marRight w:val="0"/>
      <w:marTop w:val="0"/>
      <w:marBottom w:val="0"/>
      <w:divBdr>
        <w:top w:val="none" w:sz="0" w:space="0" w:color="auto"/>
        <w:left w:val="none" w:sz="0" w:space="0" w:color="auto"/>
        <w:bottom w:val="none" w:sz="0" w:space="0" w:color="auto"/>
        <w:right w:val="none" w:sz="0" w:space="0" w:color="auto"/>
      </w:divBdr>
      <w:divsChild>
        <w:div w:id="751198489">
          <w:marLeft w:val="547"/>
          <w:marRight w:val="0"/>
          <w:marTop w:val="0"/>
          <w:marBottom w:val="0"/>
          <w:divBdr>
            <w:top w:val="none" w:sz="0" w:space="0" w:color="auto"/>
            <w:left w:val="none" w:sz="0" w:space="0" w:color="auto"/>
            <w:bottom w:val="none" w:sz="0" w:space="0" w:color="auto"/>
            <w:right w:val="none" w:sz="0" w:space="0" w:color="auto"/>
          </w:divBdr>
        </w:div>
        <w:div w:id="591935116">
          <w:marLeft w:val="1166"/>
          <w:marRight w:val="0"/>
          <w:marTop w:val="0"/>
          <w:marBottom w:val="0"/>
          <w:divBdr>
            <w:top w:val="none" w:sz="0" w:space="0" w:color="auto"/>
            <w:left w:val="none" w:sz="0" w:space="0" w:color="auto"/>
            <w:bottom w:val="none" w:sz="0" w:space="0" w:color="auto"/>
            <w:right w:val="none" w:sz="0" w:space="0" w:color="auto"/>
          </w:divBdr>
        </w:div>
        <w:div w:id="308753928">
          <w:marLeft w:val="1166"/>
          <w:marRight w:val="0"/>
          <w:marTop w:val="0"/>
          <w:marBottom w:val="0"/>
          <w:divBdr>
            <w:top w:val="none" w:sz="0" w:space="0" w:color="auto"/>
            <w:left w:val="none" w:sz="0" w:space="0" w:color="auto"/>
            <w:bottom w:val="none" w:sz="0" w:space="0" w:color="auto"/>
            <w:right w:val="none" w:sz="0" w:space="0" w:color="auto"/>
          </w:divBdr>
        </w:div>
        <w:div w:id="2000772218">
          <w:marLeft w:val="1166"/>
          <w:marRight w:val="0"/>
          <w:marTop w:val="0"/>
          <w:marBottom w:val="0"/>
          <w:divBdr>
            <w:top w:val="none" w:sz="0" w:space="0" w:color="auto"/>
            <w:left w:val="none" w:sz="0" w:space="0" w:color="auto"/>
            <w:bottom w:val="none" w:sz="0" w:space="0" w:color="auto"/>
            <w:right w:val="none" w:sz="0" w:space="0" w:color="auto"/>
          </w:divBdr>
        </w:div>
        <w:div w:id="73479932">
          <w:marLeft w:val="1166"/>
          <w:marRight w:val="0"/>
          <w:marTop w:val="0"/>
          <w:marBottom w:val="0"/>
          <w:divBdr>
            <w:top w:val="none" w:sz="0" w:space="0" w:color="auto"/>
            <w:left w:val="none" w:sz="0" w:space="0" w:color="auto"/>
            <w:bottom w:val="none" w:sz="0" w:space="0" w:color="auto"/>
            <w:right w:val="none" w:sz="0" w:space="0" w:color="auto"/>
          </w:divBdr>
        </w:div>
        <w:div w:id="1332685857">
          <w:marLeft w:val="1166"/>
          <w:marRight w:val="0"/>
          <w:marTop w:val="0"/>
          <w:marBottom w:val="0"/>
          <w:divBdr>
            <w:top w:val="none" w:sz="0" w:space="0" w:color="auto"/>
            <w:left w:val="none" w:sz="0" w:space="0" w:color="auto"/>
            <w:bottom w:val="none" w:sz="0" w:space="0" w:color="auto"/>
            <w:right w:val="none" w:sz="0" w:space="0" w:color="auto"/>
          </w:divBdr>
        </w:div>
        <w:div w:id="1865484820">
          <w:marLeft w:val="1166"/>
          <w:marRight w:val="0"/>
          <w:marTop w:val="0"/>
          <w:marBottom w:val="0"/>
          <w:divBdr>
            <w:top w:val="none" w:sz="0" w:space="0" w:color="auto"/>
            <w:left w:val="none" w:sz="0" w:space="0" w:color="auto"/>
            <w:bottom w:val="none" w:sz="0" w:space="0" w:color="auto"/>
            <w:right w:val="none" w:sz="0" w:space="0" w:color="auto"/>
          </w:divBdr>
        </w:div>
        <w:div w:id="729038794">
          <w:marLeft w:val="1166"/>
          <w:marRight w:val="0"/>
          <w:marTop w:val="0"/>
          <w:marBottom w:val="0"/>
          <w:divBdr>
            <w:top w:val="none" w:sz="0" w:space="0" w:color="auto"/>
            <w:left w:val="none" w:sz="0" w:space="0" w:color="auto"/>
            <w:bottom w:val="none" w:sz="0" w:space="0" w:color="auto"/>
            <w:right w:val="none" w:sz="0" w:space="0" w:color="auto"/>
          </w:divBdr>
        </w:div>
        <w:div w:id="1290087092">
          <w:marLeft w:val="1166"/>
          <w:marRight w:val="0"/>
          <w:marTop w:val="0"/>
          <w:marBottom w:val="0"/>
          <w:divBdr>
            <w:top w:val="none" w:sz="0" w:space="0" w:color="auto"/>
            <w:left w:val="none" w:sz="0" w:space="0" w:color="auto"/>
            <w:bottom w:val="none" w:sz="0" w:space="0" w:color="auto"/>
            <w:right w:val="none" w:sz="0" w:space="0" w:color="auto"/>
          </w:divBdr>
        </w:div>
      </w:divsChild>
    </w:div>
    <w:div w:id="1078670034">
      <w:bodyDiv w:val="1"/>
      <w:marLeft w:val="0"/>
      <w:marRight w:val="0"/>
      <w:marTop w:val="0"/>
      <w:marBottom w:val="0"/>
      <w:divBdr>
        <w:top w:val="none" w:sz="0" w:space="0" w:color="auto"/>
        <w:left w:val="none" w:sz="0" w:space="0" w:color="auto"/>
        <w:bottom w:val="none" w:sz="0" w:space="0" w:color="auto"/>
        <w:right w:val="none" w:sz="0" w:space="0" w:color="auto"/>
      </w:divBdr>
    </w:div>
    <w:div w:id="1079903792">
      <w:bodyDiv w:val="1"/>
      <w:marLeft w:val="0"/>
      <w:marRight w:val="0"/>
      <w:marTop w:val="0"/>
      <w:marBottom w:val="0"/>
      <w:divBdr>
        <w:top w:val="none" w:sz="0" w:space="0" w:color="auto"/>
        <w:left w:val="none" w:sz="0" w:space="0" w:color="auto"/>
        <w:bottom w:val="none" w:sz="0" w:space="0" w:color="auto"/>
        <w:right w:val="none" w:sz="0" w:space="0" w:color="auto"/>
      </w:divBdr>
      <w:divsChild>
        <w:div w:id="965234720">
          <w:marLeft w:val="1166"/>
          <w:marRight w:val="0"/>
          <w:marTop w:val="0"/>
          <w:marBottom w:val="0"/>
          <w:divBdr>
            <w:top w:val="none" w:sz="0" w:space="0" w:color="auto"/>
            <w:left w:val="none" w:sz="0" w:space="0" w:color="auto"/>
            <w:bottom w:val="none" w:sz="0" w:space="0" w:color="auto"/>
            <w:right w:val="none" w:sz="0" w:space="0" w:color="auto"/>
          </w:divBdr>
        </w:div>
        <w:div w:id="1069426977">
          <w:marLeft w:val="1800"/>
          <w:marRight w:val="0"/>
          <w:marTop w:val="0"/>
          <w:marBottom w:val="0"/>
          <w:divBdr>
            <w:top w:val="none" w:sz="0" w:space="0" w:color="auto"/>
            <w:left w:val="none" w:sz="0" w:space="0" w:color="auto"/>
            <w:bottom w:val="none" w:sz="0" w:space="0" w:color="auto"/>
            <w:right w:val="none" w:sz="0" w:space="0" w:color="auto"/>
          </w:divBdr>
        </w:div>
        <w:div w:id="1594514371">
          <w:marLeft w:val="2520"/>
          <w:marRight w:val="0"/>
          <w:marTop w:val="0"/>
          <w:marBottom w:val="0"/>
          <w:divBdr>
            <w:top w:val="none" w:sz="0" w:space="0" w:color="auto"/>
            <w:left w:val="none" w:sz="0" w:space="0" w:color="auto"/>
            <w:bottom w:val="none" w:sz="0" w:space="0" w:color="auto"/>
            <w:right w:val="none" w:sz="0" w:space="0" w:color="auto"/>
          </w:divBdr>
        </w:div>
        <w:div w:id="382797325">
          <w:marLeft w:val="1800"/>
          <w:marRight w:val="0"/>
          <w:marTop w:val="0"/>
          <w:marBottom w:val="0"/>
          <w:divBdr>
            <w:top w:val="none" w:sz="0" w:space="0" w:color="auto"/>
            <w:left w:val="none" w:sz="0" w:space="0" w:color="auto"/>
            <w:bottom w:val="none" w:sz="0" w:space="0" w:color="auto"/>
            <w:right w:val="none" w:sz="0" w:space="0" w:color="auto"/>
          </w:divBdr>
        </w:div>
        <w:div w:id="1467890788">
          <w:marLeft w:val="2520"/>
          <w:marRight w:val="0"/>
          <w:marTop w:val="0"/>
          <w:marBottom w:val="0"/>
          <w:divBdr>
            <w:top w:val="none" w:sz="0" w:space="0" w:color="auto"/>
            <w:left w:val="none" w:sz="0" w:space="0" w:color="auto"/>
            <w:bottom w:val="none" w:sz="0" w:space="0" w:color="auto"/>
            <w:right w:val="none" w:sz="0" w:space="0" w:color="auto"/>
          </w:divBdr>
        </w:div>
        <w:div w:id="749813936">
          <w:marLeft w:val="1800"/>
          <w:marRight w:val="0"/>
          <w:marTop w:val="0"/>
          <w:marBottom w:val="0"/>
          <w:divBdr>
            <w:top w:val="none" w:sz="0" w:space="0" w:color="auto"/>
            <w:left w:val="none" w:sz="0" w:space="0" w:color="auto"/>
            <w:bottom w:val="none" w:sz="0" w:space="0" w:color="auto"/>
            <w:right w:val="none" w:sz="0" w:space="0" w:color="auto"/>
          </w:divBdr>
        </w:div>
        <w:div w:id="1540363434">
          <w:marLeft w:val="1166"/>
          <w:marRight w:val="0"/>
          <w:marTop w:val="0"/>
          <w:marBottom w:val="0"/>
          <w:divBdr>
            <w:top w:val="none" w:sz="0" w:space="0" w:color="auto"/>
            <w:left w:val="none" w:sz="0" w:space="0" w:color="auto"/>
            <w:bottom w:val="none" w:sz="0" w:space="0" w:color="auto"/>
            <w:right w:val="none" w:sz="0" w:space="0" w:color="auto"/>
          </w:divBdr>
        </w:div>
      </w:divsChild>
    </w:div>
    <w:div w:id="1104494897">
      <w:bodyDiv w:val="1"/>
      <w:marLeft w:val="0"/>
      <w:marRight w:val="0"/>
      <w:marTop w:val="0"/>
      <w:marBottom w:val="0"/>
      <w:divBdr>
        <w:top w:val="none" w:sz="0" w:space="0" w:color="auto"/>
        <w:left w:val="none" w:sz="0" w:space="0" w:color="auto"/>
        <w:bottom w:val="none" w:sz="0" w:space="0" w:color="auto"/>
        <w:right w:val="none" w:sz="0" w:space="0" w:color="auto"/>
      </w:divBdr>
    </w:div>
    <w:div w:id="1208373987">
      <w:bodyDiv w:val="1"/>
      <w:marLeft w:val="0"/>
      <w:marRight w:val="0"/>
      <w:marTop w:val="0"/>
      <w:marBottom w:val="0"/>
      <w:divBdr>
        <w:top w:val="none" w:sz="0" w:space="0" w:color="auto"/>
        <w:left w:val="none" w:sz="0" w:space="0" w:color="auto"/>
        <w:bottom w:val="none" w:sz="0" w:space="0" w:color="auto"/>
        <w:right w:val="none" w:sz="0" w:space="0" w:color="auto"/>
      </w:divBdr>
    </w:div>
    <w:div w:id="1238781353">
      <w:bodyDiv w:val="1"/>
      <w:marLeft w:val="0"/>
      <w:marRight w:val="0"/>
      <w:marTop w:val="0"/>
      <w:marBottom w:val="0"/>
      <w:divBdr>
        <w:top w:val="none" w:sz="0" w:space="0" w:color="auto"/>
        <w:left w:val="none" w:sz="0" w:space="0" w:color="auto"/>
        <w:bottom w:val="none" w:sz="0" w:space="0" w:color="auto"/>
        <w:right w:val="none" w:sz="0" w:space="0" w:color="auto"/>
      </w:divBdr>
    </w:div>
    <w:div w:id="1341354493">
      <w:bodyDiv w:val="1"/>
      <w:marLeft w:val="0"/>
      <w:marRight w:val="0"/>
      <w:marTop w:val="0"/>
      <w:marBottom w:val="0"/>
      <w:divBdr>
        <w:top w:val="none" w:sz="0" w:space="0" w:color="auto"/>
        <w:left w:val="none" w:sz="0" w:space="0" w:color="auto"/>
        <w:bottom w:val="none" w:sz="0" w:space="0" w:color="auto"/>
        <w:right w:val="none" w:sz="0" w:space="0" w:color="auto"/>
      </w:divBdr>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68289102">
      <w:bodyDiv w:val="1"/>
      <w:marLeft w:val="0"/>
      <w:marRight w:val="0"/>
      <w:marTop w:val="0"/>
      <w:marBottom w:val="0"/>
      <w:divBdr>
        <w:top w:val="none" w:sz="0" w:space="0" w:color="auto"/>
        <w:left w:val="none" w:sz="0" w:space="0" w:color="auto"/>
        <w:bottom w:val="none" w:sz="0" w:space="0" w:color="auto"/>
        <w:right w:val="none" w:sz="0" w:space="0" w:color="auto"/>
      </w:divBdr>
    </w:div>
    <w:div w:id="1374958403">
      <w:bodyDiv w:val="1"/>
      <w:marLeft w:val="0"/>
      <w:marRight w:val="0"/>
      <w:marTop w:val="0"/>
      <w:marBottom w:val="0"/>
      <w:divBdr>
        <w:top w:val="none" w:sz="0" w:space="0" w:color="auto"/>
        <w:left w:val="none" w:sz="0" w:space="0" w:color="auto"/>
        <w:bottom w:val="none" w:sz="0" w:space="0" w:color="auto"/>
        <w:right w:val="none" w:sz="0" w:space="0" w:color="auto"/>
      </w:divBdr>
    </w:div>
    <w:div w:id="1454209704">
      <w:bodyDiv w:val="1"/>
      <w:marLeft w:val="0"/>
      <w:marRight w:val="0"/>
      <w:marTop w:val="0"/>
      <w:marBottom w:val="0"/>
      <w:divBdr>
        <w:top w:val="none" w:sz="0" w:space="0" w:color="auto"/>
        <w:left w:val="none" w:sz="0" w:space="0" w:color="auto"/>
        <w:bottom w:val="none" w:sz="0" w:space="0" w:color="auto"/>
        <w:right w:val="none" w:sz="0" w:space="0" w:color="auto"/>
      </w:divBdr>
    </w:div>
    <w:div w:id="1489591258">
      <w:bodyDiv w:val="1"/>
      <w:marLeft w:val="0"/>
      <w:marRight w:val="0"/>
      <w:marTop w:val="0"/>
      <w:marBottom w:val="0"/>
      <w:divBdr>
        <w:top w:val="none" w:sz="0" w:space="0" w:color="auto"/>
        <w:left w:val="none" w:sz="0" w:space="0" w:color="auto"/>
        <w:bottom w:val="none" w:sz="0" w:space="0" w:color="auto"/>
        <w:right w:val="none" w:sz="0" w:space="0" w:color="auto"/>
      </w:divBdr>
    </w:div>
    <w:div w:id="1491484339">
      <w:bodyDiv w:val="1"/>
      <w:marLeft w:val="0"/>
      <w:marRight w:val="0"/>
      <w:marTop w:val="0"/>
      <w:marBottom w:val="0"/>
      <w:divBdr>
        <w:top w:val="none" w:sz="0" w:space="0" w:color="auto"/>
        <w:left w:val="none" w:sz="0" w:space="0" w:color="auto"/>
        <w:bottom w:val="none" w:sz="0" w:space="0" w:color="auto"/>
        <w:right w:val="none" w:sz="0" w:space="0" w:color="auto"/>
      </w:divBdr>
      <w:divsChild>
        <w:div w:id="1463381784">
          <w:marLeft w:val="547"/>
          <w:marRight w:val="0"/>
          <w:marTop w:val="0"/>
          <w:marBottom w:val="180"/>
          <w:divBdr>
            <w:top w:val="none" w:sz="0" w:space="0" w:color="auto"/>
            <w:left w:val="none" w:sz="0" w:space="0" w:color="auto"/>
            <w:bottom w:val="none" w:sz="0" w:space="0" w:color="auto"/>
            <w:right w:val="none" w:sz="0" w:space="0" w:color="auto"/>
          </w:divBdr>
        </w:div>
        <w:div w:id="533730662">
          <w:marLeft w:val="1166"/>
          <w:marRight w:val="0"/>
          <w:marTop w:val="0"/>
          <w:marBottom w:val="180"/>
          <w:divBdr>
            <w:top w:val="none" w:sz="0" w:space="0" w:color="auto"/>
            <w:left w:val="none" w:sz="0" w:space="0" w:color="auto"/>
            <w:bottom w:val="none" w:sz="0" w:space="0" w:color="auto"/>
            <w:right w:val="none" w:sz="0" w:space="0" w:color="auto"/>
          </w:divBdr>
        </w:div>
        <w:div w:id="2101683334">
          <w:marLeft w:val="1166"/>
          <w:marRight w:val="0"/>
          <w:marTop w:val="0"/>
          <w:marBottom w:val="180"/>
          <w:divBdr>
            <w:top w:val="none" w:sz="0" w:space="0" w:color="auto"/>
            <w:left w:val="none" w:sz="0" w:space="0" w:color="auto"/>
            <w:bottom w:val="none" w:sz="0" w:space="0" w:color="auto"/>
            <w:right w:val="none" w:sz="0" w:space="0" w:color="auto"/>
          </w:divBdr>
        </w:div>
        <w:div w:id="19280013">
          <w:marLeft w:val="1166"/>
          <w:marRight w:val="0"/>
          <w:marTop w:val="0"/>
          <w:marBottom w:val="180"/>
          <w:divBdr>
            <w:top w:val="none" w:sz="0" w:space="0" w:color="auto"/>
            <w:left w:val="none" w:sz="0" w:space="0" w:color="auto"/>
            <w:bottom w:val="none" w:sz="0" w:space="0" w:color="auto"/>
            <w:right w:val="none" w:sz="0" w:space="0" w:color="auto"/>
          </w:divBdr>
        </w:div>
        <w:div w:id="1977756374">
          <w:marLeft w:val="1166"/>
          <w:marRight w:val="0"/>
          <w:marTop w:val="0"/>
          <w:marBottom w:val="180"/>
          <w:divBdr>
            <w:top w:val="none" w:sz="0" w:space="0" w:color="auto"/>
            <w:left w:val="none" w:sz="0" w:space="0" w:color="auto"/>
            <w:bottom w:val="none" w:sz="0" w:space="0" w:color="auto"/>
            <w:right w:val="none" w:sz="0" w:space="0" w:color="auto"/>
          </w:divBdr>
        </w:div>
      </w:divsChild>
    </w:div>
    <w:div w:id="1521158986">
      <w:bodyDiv w:val="1"/>
      <w:marLeft w:val="0"/>
      <w:marRight w:val="0"/>
      <w:marTop w:val="0"/>
      <w:marBottom w:val="0"/>
      <w:divBdr>
        <w:top w:val="none" w:sz="0" w:space="0" w:color="auto"/>
        <w:left w:val="none" w:sz="0" w:space="0" w:color="auto"/>
        <w:bottom w:val="none" w:sz="0" w:space="0" w:color="auto"/>
        <w:right w:val="none" w:sz="0" w:space="0" w:color="auto"/>
      </w:divBdr>
      <w:divsChild>
        <w:div w:id="432171300">
          <w:marLeft w:val="1166"/>
          <w:marRight w:val="0"/>
          <w:marTop w:val="0"/>
          <w:marBottom w:val="0"/>
          <w:divBdr>
            <w:top w:val="none" w:sz="0" w:space="0" w:color="auto"/>
            <w:left w:val="none" w:sz="0" w:space="0" w:color="auto"/>
            <w:bottom w:val="none" w:sz="0" w:space="0" w:color="auto"/>
            <w:right w:val="none" w:sz="0" w:space="0" w:color="auto"/>
          </w:divBdr>
        </w:div>
        <w:div w:id="964582099">
          <w:marLeft w:val="1800"/>
          <w:marRight w:val="0"/>
          <w:marTop w:val="0"/>
          <w:marBottom w:val="0"/>
          <w:divBdr>
            <w:top w:val="none" w:sz="0" w:space="0" w:color="auto"/>
            <w:left w:val="none" w:sz="0" w:space="0" w:color="auto"/>
            <w:bottom w:val="none" w:sz="0" w:space="0" w:color="auto"/>
            <w:right w:val="none" w:sz="0" w:space="0" w:color="auto"/>
          </w:divBdr>
        </w:div>
        <w:div w:id="435446749">
          <w:marLeft w:val="2520"/>
          <w:marRight w:val="0"/>
          <w:marTop w:val="0"/>
          <w:marBottom w:val="0"/>
          <w:divBdr>
            <w:top w:val="none" w:sz="0" w:space="0" w:color="auto"/>
            <w:left w:val="none" w:sz="0" w:space="0" w:color="auto"/>
            <w:bottom w:val="none" w:sz="0" w:space="0" w:color="auto"/>
            <w:right w:val="none" w:sz="0" w:space="0" w:color="auto"/>
          </w:divBdr>
        </w:div>
        <w:div w:id="2048337047">
          <w:marLeft w:val="1800"/>
          <w:marRight w:val="0"/>
          <w:marTop w:val="0"/>
          <w:marBottom w:val="0"/>
          <w:divBdr>
            <w:top w:val="none" w:sz="0" w:space="0" w:color="auto"/>
            <w:left w:val="none" w:sz="0" w:space="0" w:color="auto"/>
            <w:bottom w:val="none" w:sz="0" w:space="0" w:color="auto"/>
            <w:right w:val="none" w:sz="0" w:space="0" w:color="auto"/>
          </w:divBdr>
        </w:div>
        <w:div w:id="990328223">
          <w:marLeft w:val="2520"/>
          <w:marRight w:val="0"/>
          <w:marTop w:val="0"/>
          <w:marBottom w:val="0"/>
          <w:divBdr>
            <w:top w:val="none" w:sz="0" w:space="0" w:color="auto"/>
            <w:left w:val="none" w:sz="0" w:space="0" w:color="auto"/>
            <w:bottom w:val="none" w:sz="0" w:space="0" w:color="auto"/>
            <w:right w:val="none" w:sz="0" w:space="0" w:color="auto"/>
          </w:divBdr>
        </w:div>
        <w:div w:id="951977677">
          <w:marLeft w:val="1800"/>
          <w:marRight w:val="0"/>
          <w:marTop w:val="0"/>
          <w:marBottom w:val="0"/>
          <w:divBdr>
            <w:top w:val="none" w:sz="0" w:space="0" w:color="auto"/>
            <w:left w:val="none" w:sz="0" w:space="0" w:color="auto"/>
            <w:bottom w:val="none" w:sz="0" w:space="0" w:color="auto"/>
            <w:right w:val="none" w:sz="0" w:space="0" w:color="auto"/>
          </w:divBdr>
        </w:div>
        <w:div w:id="1139104990">
          <w:marLeft w:val="1166"/>
          <w:marRight w:val="0"/>
          <w:marTop w:val="0"/>
          <w:marBottom w:val="0"/>
          <w:divBdr>
            <w:top w:val="none" w:sz="0" w:space="0" w:color="auto"/>
            <w:left w:val="none" w:sz="0" w:space="0" w:color="auto"/>
            <w:bottom w:val="none" w:sz="0" w:space="0" w:color="auto"/>
            <w:right w:val="none" w:sz="0" w:space="0" w:color="auto"/>
          </w:divBdr>
        </w:div>
      </w:divsChild>
    </w:div>
    <w:div w:id="1572958398">
      <w:bodyDiv w:val="1"/>
      <w:marLeft w:val="0"/>
      <w:marRight w:val="0"/>
      <w:marTop w:val="0"/>
      <w:marBottom w:val="0"/>
      <w:divBdr>
        <w:top w:val="none" w:sz="0" w:space="0" w:color="auto"/>
        <w:left w:val="none" w:sz="0" w:space="0" w:color="auto"/>
        <w:bottom w:val="none" w:sz="0" w:space="0" w:color="auto"/>
        <w:right w:val="none" w:sz="0" w:space="0" w:color="auto"/>
      </w:divBdr>
    </w:div>
    <w:div w:id="1640308253">
      <w:bodyDiv w:val="1"/>
      <w:marLeft w:val="0"/>
      <w:marRight w:val="0"/>
      <w:marTop w:val="0"/>
      <w:marBottom w:val="0"/>
      <w:divBdr>
        <w:top w:val="none" w:sz="0" w:space="0" w:color="auto"/>
        <w:left w:val="none" w:sz="0" w:space="0" w:color="auto"/>
        <w:bottom w:val="none" w:sz="0" w:space="0" w:color="auto"/>
        <w:right w:val="none" w:sz="0" w:space="0" w:color="auto"/>
      </w:divBdr>
    </w:div>
    <w:div w:id="1653677224">
      <w:bodyDiv w:val="1"/>
      <w:marLeft w:val="0"/>
      <w:marRight w:val="0"/>
      <w:marTop w:val="0"/>
      <w:marBottom w:val="0"/>
      <w:divBdr>
        <w:top w:val="none" w:sz="0" w:space="0" w:color="auto"/>
        <w:left w:val="none" w:sz="0" w:space="0" w:color="auto"/>
        <w:bottom w:val="none" w:sz="0" w:space="0" w:color="auto"/>
        <w:right w:val="none" w:sz="0" w:space="0" w:color="auto"/>
      </w:divBdr>
    </w:div>
    <w:div w:id="1654142519">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26874951">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869447016">
      <w:bodyDiv w:val="1"/>
      <w:marLeft w:val="0"/>
      <w:marRight w:val="0"/>
      <w:marTop w:val="0"/>
      <w:marBottom w:val="0"/>
      <w:divBdr>
        <w:top w:val="none" w:sz="0" w:space="0" w:color="auto"/>
        <w:left w:val="none" w:sz="0" w:space="0" w:color="auto"/>
        <w:bottom w:val="none" w:sz="0" w:space="0" w:color="auto"/>
        <w:right w:val="none" w:sz="0" w:space="0" w:color="auto"/>
      </w:divBdr>
    </w:div>
    <w:div w:id="1902209783">
      <w:bodyDiv w:val="1"/>
      <w:marLeft w:val="0"/>
      <w:marRight w:val="0"/>
      <w:marTop w:val="0"/>
      <w:marBottom w:val="0"/>
      <w:divBdr>
        <w:top w:val="none" w:sz="0" w:space="0" w:color="auto"/>
        <w:left w:val="none" w:sz="0" w:space="0" w:color="auto"/>
        <w:bottom w:val="none" w:sz="0" w:space="0" w:color="auto"/>
        <w:right w:val="none" w:sz="0" w:space="0" w:color="auto"/>
      </w:divBdr>
      <w:divsChild>
        <w:div w:id="123473608">
          <w:marLeft w:val="1166"/>
          <w:marRight w:val="0"/>
          <w:marTop w:val="0"/>
          <w:marBottom w:val="0"/>
          <w:divBdr>
            <w:top w:val="none" w:sz="0" w:space="0" w:color="auto"/>
            <w:left w:val="none" w:sz="0" w:space="0" w:color="auto"/>
            <w:bottom w:val="none" w:sz="0" w:space="0" w:color="auto"/>
            <w:right w:val="none" w:sz="0" w:space="0" w:color="auto"/>
          </w:divBdr>
        </w:div>
        <w:div w:id="1024748691">
          <w:marLeft w:val="1800"/>
          <w:marRight w:val="0"/>
          <w:marTop w:val="0"/>
          <w:marBottom w:val="0"/>
          <w:divBdr>
            <w:top w:val="none" w:sz="0" w:space="0" w:color="auto"/>
            <w:left w:val="none" w:sz="0" w:space="0" w:color="auto"/>
            <w:bottom w:val="none" w:sz="0" w:space="0" w:color="auto"/>
            <w:right w:val="none" w:sz="0" w:space="0" w:color="auto"/>
          </w:divBdr>
        </w:div>
        <w:div w:id="1745493493">
          <w:marLeft w:val="2520"/>
          <w:marRight w:val="0"/>
          <w:marTop w:val="0"/>
          <w:marBottom w:val="0"/>
          <w:divBdr>
            <w:top w:val="none" w:sz="0" w:space="0" w:color="auto"/>
            <w:left w:val="none" w:sz="0" w:space="0" w:color="auto"/>
            <w:bottom w:val="none" w:sz="0" w:space="0" w:color="auto"/>
            <w:right w:val="none" w:sz="0" w:space="0" w:color="auto"/>
          </w:divBdr>
        </w:div>
        <w:div w:id="1625962794">
          <w:marLeft w:val="1800"/>
          <w:marRight w:val="0"/>
          <w:marTop w:val="0"/>
          <w:marBottom w:val="0"/>
          <w:divBdr>
            <w:top w:val="none" w:sz="0" w:space="0" w:color="auto"/>
            <w:left w:val="none" w:sz="0" w:space="0" w:color="auto"/>
            <w:bottom w:val="none" w:sz="0" w:space="0" w:color="auto"/>
            <w:right w:val="none" w:sz="0" w:space="0" w:color="auto"/>
          </w:divBdr>
        </w:div>
        <w:div w:id="1973514275">
          <w:marLeft w:val="2520"/>
          <w:marRight w:val="0"/>
          <w:marTop w:val="0"/>
          <w:marBottom w:val="0"/>
          <w:divBdr>
            <w:top w:val="none" w:sz="0" w:space="0" w:color="auto"/>
            <w:left w:val="none" w:sz="0" w:space="0" w:color="auto"/>
            <w:bottom w:val="none" w:sz="0" w:space="0" w:color="auto"/>
            <w:right w:val="none" w:sz="0" w:space="0" w:color="auto"/>
          </w:divBdr>
        </w:div>
        <w:div w:id="487525455">
          <w:marLeft w:val="1800"/>
          <w:marRight w:val="0"/>
          <w:marTop w:val="0"/>
          <w:marBottom w:val="0"/>
          <w:divBdr>
            <w:top w:val="none" w:sz="0" w:space="0" w:color="auto"/>
            <w:left w:val="none" w:sz="0" w:space="0" w:color="auto"/>
            <w:bottom w:val="none" w:sz="0" w:space="0" w:color="auto"/>
            <w:right w:val="none" w:sz="0" w:space="0" w:color="auto"/>
          </w:divBdr>
        </w:div>
        <w:div w:id="1137919277">
          <w:marLeft w:val="1166"/>
          <w:marRight w:val="0"/>
          <w:marTop w:val="0"/>
          <w:marBottom w:val="0"/>
          <w:divBdr>
            <w:top w:val="none" w:sz="0" w:space="0" w:color="auto"/>
            <w:left w:val="none" w:sz="0" w:space="0" w:color="auto"/>
            <w:bottom w:val="none" w:sz="0" w:space="0" w:color="auto"/>
            <w:right w:val="none" w:sz="0" w:space="0" w:color="auto"/>
          </w:divBdr>
        </w:div>
      </w:divsChild>
    </w:div>
    <w:div w:id="1922788118">
      <w:bodyDiv w:val="1"/>
      <w:marLeft w:val="0"/>
      <w:marRight w:val="0"/>
      <w:marTop w:val="0"/>
      <w:marBottom w:val="0"/>
      <w:divBdr>
        <w:top w:val="none" w:sz="0" w:space="0" w:color="auto"/>
        <w:left w:val="none" w:sz="0" w:space="0" w:color="auto"/>
        <w:bottom w:val="none" w:sz="0" w:space="0" w:color="auto"/>
        <w:right w:val="none" w:sz="0" w:space="0" w:color="auto"/>
      </w:divBdr>
    </w:div>
    <w:div w:id="1923490501">
      <w:bodyDiv w:val="1"/>
      <w:marLeft w:val="0"/>
      <w:marRight w:val="0"/>
      <w:marTop w:val="0"/>
      <w:marBottom w:val="0"/>
      <w:divBdr>
        <w:top w:val="none" w:sz="0" w:space="0" w:color="auto"/>
        <w:left w:val="none" w:sz="0" w:space="0" w:color="auto"/>
        <w:bottom w:val="none" w:sz="0" w:space="0" w:color="auto"/>
        <w:right w:val="none" w:sz="0" w:space="0" w:color="auto"/>
      </w:divBdr>
    </w:div>
    <w:div w:id="1996454075">
      <w:bodyDiv w:val="1"/>
      <w:marLeft w:val="0"/>
      <w:marRight w:val="0"/>
      <w:marTop w:val="0"/>
      <w:marBottom w:val="0"/>
      <w:divBdr>
        <w:top w:val="none" w:sz="0" w:space="0" w:color="auto"/>
        <w:left w:val="none" w:sz="0" w:space="0" w:color="auto"/>
        <w:bottom w:val="none" w:sz="0" w:space="0" w:color="auto"/>
        <w:right w:val="none" w:sz="0" w:space="0" w:color="auto"/>
      </w:divBdr>
    </w:div>
    <w:div w:id="2031223625">
      <w:bodyDiv w:val="1"/>
      <w:marLeft w:val="0"/>
      <w:marRight w:val="0"/>
      <w:marTop w:val="0"/>
      <w:marBottom w:val="0"/>
      <w:divBdr>
        <w:top w:val="none" w:sz="0" w:space="0" w:color="auto"/>
        <w:left w:val="none" w:sz="0" w:space="0" w:color="auto"/>
        <w:bottom w:val="none" w:sz="0" w:space="0" w:color="auto"/>
        <w:right w:val="none" w:sz="0" w:space="0" w:color="auto"/>
      </w:divBdr>
    </w:div>
    <w:div w:id="2041776923">
      <w:bodyDiv w:val="1"/>
      <w:marLeft w:val="0"/>
      <w:marRight w:val="0"/>
      <w:marTop w:val="0"/>
      <w:marBottom w:val="0"/>
      <w:divBdr>
        <w:top w:val="none" w:sz="0" w:space="0" w:color="auto"/>
        <w:left w:val="none" w:sz="0" w:space="0" w:color="auto"/>
        <w:bottom w:val="none" w:sz="0" w:space="0" w:color="auto"/>
        <w:right w:val="none" w:sz="0" w:space="0" w:color="auto"/>
      </w:divBdr>
    </w:div>
    <w:div w:id="2047875589">
      <w:bodyDiv w:val="1"/>
      <w:marLeft w:val="0"/>
      <w:marRight w:val="0"/>
      <w:marTop w:val="0"/>
      <w:marBottom w:val="0"/>
      <w:divBdr>
        <w:top w:val="none" w:sz="0" w:space="0" w:color="auto"/>
        <w:left w:val="none" w:sz="0" w:space="0" w:color="auto"/>
        <w:bottom w:val="none" w:sz="0" w:space="0" w:color="auto"/>
        <w:right w:val="none" w:sz="0" w:space="0" w:color="auto"/>
      </w:divBdr>
      <w:divsChild>
        <w:div w:id="1945453693">
          <w:marLeft w:val="547"/>
          <w:marRight w:val="0"/>
          <w:marTop w:val="0"/>
          <w:marBottom w:val="0"/>
          <w:divBdr>
            <w:top w:val="none" w:sz="0" w:space="0" w:color="auto"/>
            <w:left w:val="none" w:sz="0" w:space="0" w:color="auto"/>
            <w:bottom w:val="none" w:sz="0" w:space="0" w:color="auto"/>
            <w:right w:val="none" w:sz="0" w:space="0" w:color="auto"/>
          </w:divBdr>
        </w:div>
        <w:div w:id="234508052">
          <w:marLeft w:val="1166"/>
          <w:marRight w:val="0"/>
          <w:marTop w:val="0"/>
          <w:marBottom w:val="0"/>
          <w:divBdr>
            <w:top w:val="none" w:sz="0" w:space="0" w:color="auto"/>
            <w:left w:val="none" w:sz="0" w:space="0" w:color="auto"/>
            <w:bottom w:val="none" w:sz="0" w:space="0" w:color="auto"/>
            <w:right w:val="none" w:sz="0" w:space="0" w:color="auto"/>
          </w:divBdr>
        </w:div>
        <w:div w:id="768935047">
          <w:marLeft w:val="1166"/>
          <w:marRight w:val="0"/>
          <w:marTop w:val="0"/>
          <w:marBottom w:val="0"/>
          <w:divBdr>
            <w:top w:val="none" w:sz="0" w:space="0" w:color="auto"/>
            <w:left w:val="none" w:sz="0" w:space="0" w:color="auto"/>
            <w:bottom w:val="none" w:sz="0" w:space="0" w:color="auto"/>
            <w:right w:val="none" w:sz="0" w:space="0" w:color="auto"/>
          </w:divBdr>
        </w:div>
        <w:div w:id="2022195077">
          <w:marLeft w:val="1800"/>
          <w:marRight w:val="0"/>
          <w:marTop w:val="0"/>
          <w:marBottom w:val="0"/>
          <w:divBdr>
            <w:top w:val="none" w:sz="0" w:space="0" w:color="auto"/>
            <w:left w:val="none" w:sz="0" w:space="0" w:color="auto"/>
            <w:bottom w:val="none" w:sz="0" w:space="0" w:color="auto"/>
            <w:right w:val="none" w:sz="0" w:space="0" w:color="auto"/>
          </w:divBdr>
        </w:div>
        <w:div w:id="308290029">
          <w:marLeft w:val="1166"/>
          <w:marRight w:val="0"/>
          <w:marTop w:val="0"/>
          <w:marBottom w:val="0"/>
          <w:divBdr>
            <w:top w:val="none" w:sz="0" w:space="0" w:color="auto"/>
            <w:left w:val="none" w:sz="0" w:space="0" w:color="auto"/>
            <w:bottom w:val="none" w:sz="0" w:space="0" w:color="auto"/>
            <w:right w:val="none" w:sz="0" w:space="0" w:color="auto"/>
          </w:divBdr>
        </w:div>
        <w:div w:id="63796991">
          <w:marLeft w:val="1166"/>
          <w:marRight w:val="0"/>
          <w:marTop w:val="0"/>
          <w:marBottom w:val="0"/>
          <w:divBdr>
            <w:top w:val="none" w:sz="0" w:space="0" w:color="auto"/>
            <w:left w:val="none" w:sz="0" w:space="0" w:color="auto"/>
            <w:bottom w:val="none" w:sz="0" w:space="0" w:color="auto"/>
            <w:right w:val="none" w:sz="0" w:space="0" w:color="auto"/>
          </w:divBdr>
        </w:div>
        <w:div w:id="1895117909">
          <w:marLeft w:val="547"/>
          <w:marRight w:val="0"/>
          <w:marTop w:val="0"/>
          <w:marBottom w:val="0"/>
          <w:divBdr>
            <w:top w:val="none" w:sz="0" w:space="0" w:color="auto"/>
            <w:left w:val="none" w:sz="0" w:space="0" w:color="auto"/>
            <w:bottom w:val="none" w:sz="0" w:space="0" w:color="auto"/>
            <w:right w:val="none" w:sz="0" w:space="0" w:color="auto"/>
          </w:divBdr>
        </w:div>
        <w:div w:id="642389647">
          <w:marLeft w:val="1166"/>
          <w:marRight w:val="0"/>
          <w:marTop w:val="0"/>
          <w:marBottom w:val="0"/>
          <w:divBdr>
            <w:top w:val="none" w:sz="0" w:space="0" w:color="auto"/>
            <w:left w:val="none" w:sz="0" w:space="0" w:color="auto"/>
            <w:bottom w:val="none" w:sz="0" w:space="0" w:color="auto"/>
            <w:right w:val="none" w:sz="0" w:space="0" w:color="auto"/>
          </w:divBdr>
        </w:div>
      </w:divsChild>
    </w:div>
    <w:div w:id="2119056493">
      <w:bodyDiv w:val="1"/>
      <w:marLeft w:val="0"/>
      <w:marRight w:val="0"/>
      <w:marTop w:val="0"/>
      <w:marBottom w:val="0"/>
      <w:divBdr>
        <w:top w:val="none" w:sz="0" w:space="0" w:color="auto"/>
        <w:left w:val="none" w:sz="0" w:space="0" w:color="auto"/>
        <w:bottom w:val="none" w:sz="0" w:space="0" w:color="auto"/>
        <w:right w:val="none" w:sz="0" w:space="0" w:color="auto"/>
      </w:divBdr>
      <w:divsChild>
        <w:div w:id="1659382686">
          <w:marLeft w:val="547"/>
          <w:marRight w:val="0"/>
          <w:marTop w:val="0"/>
          <w:marBottom w:val="0"/>
          <w:divBdr>
            <w:top w:val="none" w:sz="0" w:space="0" w:color="auto"/>
            <w:left w:val="none" w:sz="0" w:space="0" w:color="auto"/>
            <w:bottom w:val="none" w:sz="0" w:space="0" w:color="auto"/>
            <w:right w:val="none" w:sz="0" w:space="0" w:color="auto"/>
          </w:divBdr>
        </w:div>
        <w:div w:id="857619078">
          <w:marLeft w:val="1166"/>
          <w:marRight w:val="0"/>
          <w:marTop w:val="0"/>
          <w:marBottom w:val="0"/>
          <w:divBdr>
            <w:top w:val="none" w:sz="0" w:space="0" w:color="auto"/>
            <w:left w:val="none" w:sz="0" w:space="0" w:color="auto"/>
            <w:bottom w:val="none" w:sz="0" w:space="0" w:color="auto"/>
            <w:right w:val="none" w:sz="0" w:space="0" w:color="auto"/>
          </w:divBdr>
        </w:div>
        <w:div w:id="1844588304">
          <w:marLeft w:val="1166"/>
          <w:marRight w:val="0"/>
          <w:marTop w:val="0"/>
          <w:marBottom w:val="0"/>
          <w:divBdr>
            <w:top w:val="none" w:sz="0" w:space="0" w:color="auto"/>
            <w:left w:val="none" w:sz="0" w:space="0" w:color="auto"/>
            <w:bottom w:val="none" w:sz="0" w:space="0" w:color="auto"/>
            <w:right w:val="none" w:sz="0" w:space="0" w:color="auto"/>
          </w:divBdr>
        </w:div>
        <w:div w:id="289089110">
          <w:marLeft w:val="1800"/>
          <w:marRight w:val="0"/>
          <w:marTop w:val="0"/>
          <w:marBottom w:val="0"/>
          <w:divBdr>
            <w:top w:val="none" w:sz="0" w:space="0" w:color="auto"/>
            <w:left w:val="none" w:sz="0" w:space="0" w:color="auto"/>
            <w:bottom w:val="none" w:sz="0" w:space="0" w:color="auto"/>
            <w:right w:val="none" w:sz="0" w:space="0" w:color="auto"/>
          </w:divBdr>
        </w:div>
        <w:div w:id="1516188231">
          <w:marLeft w:val="1166"/>
          <w:marRight w:val="0"/>
          <w:marTop w:val="0"/>
          <w:marBottom w:val="0"/>
          <w:divBdr>
            <w:top w:val="none" w:sz="0" w:space="0" w:color="auto"/>
            <w:left w:val="none" w:sz="0" w:space="0" w:color="auto"/>
            <w:bottom w:val="none" w:sz="0" w:space="0" w:color="auto"/>
            <w:right w:val="none" w:sz="0" w:space="0" w:color="auto"/>
          </w:divBdr>
        </w:div>
        <w:div w:id="180627196">
          <w:marLeft w:val="1166"/>
          <w:marRight w:val="0"/>
          <w:marTop w:val="0"/>
          <w:marBottom w:val="0"/>
          <w:divBdr>
            <w:top w:val="none" w:sz="0" w:space="0" w:color="auto"/>
            <w:left w:val="none" w:sz="0" w:space="0" w:color="auto"/>
            <w:bottom w:val="none" w:sz="0" w:space="0" w:color="auto"/>
            <w:right w:val="none" w:sz="0" w:space="0" w:color="auto"/>
          </w:divBdr>
        </w:div>
        <w:div w:id="1778864629">
          <w:marLeft w:val="547"/>
          <w:marRight w:val="0"/>
          <w:marTop w:val="0"/>
          <w:marBottom w:val="0"/>
          <w:divBdr>
            <w:top w:val="none" w:sz="0" w:space="0" w:color="auto"/>
            <w:left w:val="none" w:sz="0" w:space="0" w:color="auto"/>
            <w:bottom w:val="none" w:sz="0" w:space="0" w:color="auto"/>
            <w:right w:val="none" w:sz="0" w:space="0" w:color="auto"/>
          </w:divBdr>
        </w:div>
        <w:div w:id="120613663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3</Pages>
  <Words>882</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220</cp:revision>
  <cp:lastPrinted>2008-01-31T16:09:00Z</cp:lastPrinted>
  <dcterms:created xsi:type="dcterms:W3CDTF">2024-05-09T03:45:00Z</dcterms:created>
  <dcterms:modified xsi:type="dcterms:W3CDTF">2025-10-01T01:55:00Z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